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050" w:rsidRDefault="00706722">
      <w:pPr>
        <w:pStyle w:val="BlackStrips"/>
      </w:pPr>
      <w:r>
        <w:t>Charltons - Hong Kong Law - 1</w:t>
      </w:r>
      <w:r w:rsidR="00433786">
        <w:t>2</w:t>
      </w:r>
      <w:r>
        <w:t xml:space="preserve"> July 2024</w:t>
      </w:r>
    </w:p>
    <w:p w:rsidR="00377050" w:rsidRDefault="00433786">
      <w:pPr>
        <w:pStyle w:val="ReadOnline"/>
      </w:pPr>
      <w:hyperlink r:id="rId7">
        <w:r w:rsidR="00706722">
          <w:t>online version</w:t>
        </w:r>
      </w:hyperlink>
    </w:p>
    <w:p w:rsidR="00377050" w:rsidRDefault="00706722">
      <w:pPr>
        <w:pStyle w:val="Title"/>
      </w:pPr>
      <w:r>
        <w:t>HKEX Consults on Reducing Minimum Spreads for Hong Kong Securities</w:t>
      </w:r>
    </w:p>
    <w:p w:rsidR="00377050" w:rsidRDefault="00706722">
      <w:pPr>
        <w:pStyle w:val="FirstParagraph"/>
      </w:pPr>
      <w:r>
        <w:t>The Hong Kong Stock Exchange (</w:t>
      </w:r>
      <w:r>
        <w:rPr>
          <w:b/>
        </w:rPr>
        <w:t>HKEX</w:t>
      </w:r>
      <w:r>
        <w:t xml:space="preserve">) has published a </w:t>
      </w:r>
      <w:hyperlink r:id="rId8">
        <w:r w:rsidRPr="001C6B79">
          <w:rPr>
            <w:color w:val="FF0000"/>
            <w:u w:val="single"/>
          </w:rPr>
          <w:t>Consultation Paper</w:t>
        </w:r>
      </w:hyperlink>
      <w:r>
        <w:t xml:space="preserve"> seeking feedback on proposals to reduce the minimum spreads – or tick sizes – of certain Hong Kong securities, including equities, REITs and equity warrants, in two phases. Suggested by the Hong Kong Government-appointed Task Force on Enhancing Stock Market Liquidity, the proposals aim to improve Hong Kong market liquidity and the global competitiveness of the Hong Kong market by lowering bid-ask spreads and transaction costs.</w:t>
      </w:r>
    </w:p>
    <w:p w:rsidR="00377050" w:rsidRDefault="00706722">
      <w:pPr>
        <w:pStyle w:val="BodyText"/>
      </w:pPr>
      <w:r>
        <w:t>The HKEX is requesting feedback on the proposals and has set a cut-off date for comments of September 20, 2024.</w:t>
      </w:r>
    </w:p>
    <w:p w:rsidR="00377050" w:rsidRPr="001C6B79" w:rsidRDefault="00706722">
      <w:pPr>
        <w:pStyle w:val="BodyText"/>
        <w:rPr>
          <w:b/>
          <w:color w:val="C00000"/>
          <w:sz w:val="28"/>
          <w:szCs w:val="28"/>
        </w:rPr>
      </w:pPr>
      <w:r w:rsidRPr="001C6B79">
        <w:rPr>
          <w:b/>
          <w:color w:val="C00000"/>
          <w:sz w:val="28"/>
          <w:szCs w:val="28"/>
        </w:rPr>
        <w:t>Rationale for Proposed Minimum Spread Reductions</w:t>
      </w:r>
    </w:p>
    <w:p w:rsidR="00377050" w:rsidRDefault="00706722">
      <w:pPr>
        <w:pStyle w:val="BodyText"/>
      </w:pPr>
      <w:r>
        <w:t>Minimum spread is the smallest price change for stocks traded on an exchange. It determines the bid-ask spread – the difference between the highest bid price and the lowest ask price for a security – which is a transaction cost and impacts trading liquidity. The current spread cost when trading securities on the HKEX is apparently higher than in many other major markets, and reducing minimum spreads could help lower this cost. However, these reductions could potentially thin the order book depth and deter trading in less liquid stocks, causing a net decrease in liquidity. Thus, the HKEX’s proposals seek to maintain a balance between spread cost reduction and overall trading quality and liquidity.</w:t>
      </w:r>
    </w:p>
    <w:p w:rsidR="00377050" w:rsidRDefault="00706722">
      <w:pPr>
        <w:pStyle w:val="BodyText"/>
      </w:pPr>
      <w:r>
        <w:t>The HKEX recognises that minimum spreads affect the bid-ask spread and, consequently, the trading liquidity of stocks, particularly those that are “tick constrained” or trading at or near the minimum spread. A stock is considered to be “tick constrained” if trading of the stock is restricted by its minimum spread, which is indicated by its bid-ask spread almost always being at or very close to the minimum spread. The Consultation Paper warns that too small a minimum spread could fragment orders across multiple price points, thereby thinning the order book depth and reducing execution efficiency. This could deter various investor groups, such as active traders who seek prompt execution, block investors who aim for fewer price points to limit slippage, and retail investors who might prefer wider spreads for economic benefits from passive round-trip trades.</w:t>
      </w:r>
    </w:p>
    <w:p w:rsidR="00377050" w:rsidRPr="001C6B79" w:rsidRDefault="00706722">
      <w:pPr>
        <w:pStyle w:val="BodyText"/>
        <w:rPr>
          <w:b/>
        </w:rPr>
      </w:pPr>
      <w:r w:rsidRPr="001C6B79">
        <w:rPr>
          <w:b/>
        </w:rPr>
        <w:t>Hong Kong Equities Market Liquidity Profile</w:t>
      </w:r>
    </w:p>
    <w:p w:rsidR="00377050" w:rsidRDefault="00706722">
      <w:pPr>
        <w:pStyle w:val="BodyText"/>
      </w:pPr>
      <w:r>
        <w:t>Average Daily Turnover (</w:t>
      </w:r>
      <w:r>
        <w:rPr>
          <w:b/>
        </w:rPr>
        <w:t>ADT</w:t>
      </w:r>
      <w:r>
        <w:t>) is used as a measure of liquidity and generally provides an indication of the level of market interest in a stock. The Consultation Paper notes that stocks priced at or below HK$0.5, which constitute over 34% of the Hong Kong market by number, have minimal ADT and are therefore less liquid. These low-priced stocks are therefore not ideal candidates for spread reduction given their already thin order books.</w:t>
      </w:r>
    </w:p>
    <w:p w:rsidR="00377050" w:rsidRDefault="00706722">
      <w:pPr>
        <w:pStyle w:val="BodyText"/>
      </w:pPr>
      <w:r>
        <w:t>Stocks priced between HK$0.5 and HK$500, however, account for a significant portion of ADT and have better trading liquidity, making them more suitable for spread reduction. The HKEX emphasises the importance of selecting stocks with sufficient order book depth for spread reduction, to avoid compromising net trading liquidity. Higher-priced stocks above HK$0.5 are noted to generally have deeper order book depth, suggesting they are better equipped to handle the potential negative effects of spread reduction and may be ideal candidates for spread reduction.</w:t>
      </w:r>
    </w:p>
    <w:p w:rsidR="00377050" w:rsidRDefault="00706722">
      <w:pPr>
        <w:pStyle w:val="BodyText"/>
      </w:pPr>
      <w:r>
        <w:lastRenderedPageBreak/>
        <w:t>The Consultation Paper notes the diversity of investors in the Hong Kong market which includes institutional investors, market makers and retail investors which each exhibit different trading behaviours and preferences regarding minimum spreads. The HKEX has considered these varying needs and behaviours in proposing changes to minimum spreads, acknowledging that different investor groups have distinct interests in various types of stocks. Retail investors, for example, tend to prioritise overall trading profit over spread cost when making investment decisions about specific stocks.</w:t>
      </w:r>
    </w:p>
    <w:p w:rsidR="00377050" w:rsidRPr="001C6B79" w:rsidRDefault="00706722">
      <w:pPr>
        <w:pStyle w:val="BodyText"/>
        <w:rPr>
          <w:b/>
        </w:rPr>
      </w:pPr>
      <w:r w:rsidRPr="001C6B79">
        <w:rPr>
          <w:b/>
        </w:rPr>
        <w:t>Transaction Costs and Minimum Spread Models on Other International Exchanges</w:t>
      </w:r>
    </w:p>
    <w:p w:rsidR="00377050" w:rsidRDefault="00706722">
      <w:pPr>
        <w:pStyle w:val="BodyText"/>
      </w:pPr>
      <w:r>
        <w:t>The bid-ask spread in the Hong Kong market is comparatively higher than that on other major exchanges like Japan, Mainland China, the UK and the US. The HKEX considers that there is potential to reduce transaction costs in Hong Kong by lowering the minimum spread, although this is just one of several factors influencing costs, with others including the inherent liquidity of stocks. Current transaction costs in Hong Kong also include stamp duty, exchange and regulatory fees, levies and broker commissions, all of which affect trading behaviour.</w:t>
      </w:r>
    </w:p>
    <w:p w:rsidR="00377050" w:rsidRDefault="00706722">
      <w:pPr>
        <w:pStyle w:val="BodyText"/>
      </w:pPr>
      <w:r>
        <w:t>Globally, exchanges typically follow one of three minimum spread arrangements:</w:t>
      </w:r>
    </w:p>
    <w:p w:rsidR="00377050" w:rsidRDefault="00706722">
      <w:pPr>
        <w:pStyle w:val="Compact"/>
        <w:numPr>
          <w:ilvl w:val="0"/>
          <w:numId w:val="3"/>
        </w:numPr>
      </w:pPr>
      <w:r>
        <w:t>a uniform spread at all price levels, as seen in Mainland China and the US, where a standardised minimum spread and board lot size apply across all stocks;</w:t>
      </w:r>
    </w:p>
    <w:p w:rsidR="00377050" w:rsidRDefault="00706722">
      <w:pPr>
        <w:pStyle w:val="Compact"/>
        <w:numPr>
          <w:ilvl w:val="0"/>
          <w:numId w:val="3"/>
        </w:numPr>
      </w:pPr>
      <w:r>
        <w:t>a single spread table for all stocks, which uses a tiered approach to set minimum spreads that increase by price band, as used by the HKEX and the Australian, Korean, Singapore and Taiwanese stock exchanges; and</w:t>
      </w:r>
    </w:p>
    <w:p w:rsidR="00377050" w:rsidRDefault="00706722">
      <w:pPr>
        <w:pStyle w:val="Compact"/>
        <w:numPr>
          <w:ilvl w:val="0"/>
          <w:numId w:val="3"/>
        </w:numPr>
      </w:pPr>
      <w:r>
        <w:t>multiple spread tables, as used by the London and Japanese stock exchanges, which group stocks based on specific liquidity measures, such as trading volume or ADT, and assign stocks with higher liquidity or ADT to spread tables with smaller minimum spreads.</w:t>
      </w:r>
    </w:p>
    <w:p w:rsidR="00377050" w:rsidRDefault="00706722">
      <w:pPr>
        <w:pStyle w:val="FirstParagraph"/>
      </w:pPr>
      <w:r>
        <w:t>Several of these exchanges have reduced their minimum spreads or adjusted their spread arrangements over the last 20 years. The Japanese stock exchange, for example, introduced a tighter spread table for certain stocks twice, in 2014 and again in 2023, with an assessment in 2024 indicating success in reducing investor execution costs, but a decrease in order book depth at individual price points due to order dispersion.</w:t>
      </w:r>
    </w:p>
    <w:p w:rsidR="00377050" w:rsidRPr="001C6B79" w:rsidRDefault="00706722">
      <w:pPr>
        <w:pStyle w:val="BodyText"/>
        <w:rPr>
          <w:b/>
        </w:rPr>
      </w:pPr>
      <w:r w:rsidRPr="001C6B79">
        <w:rPr>
          <w:b/>
        </w:rPr>
        <w:t>Past Minimum Spread Review in ETPs Conducted by the Exchange</w:t>
      </w:r>
    </w:p>
    <w:p w:rsidR="00377050" w:rsidRDefault="00706722">
      <w:pPr>
        <w:pStyle w:val="BodyText"/>
      </w:pPr>
      <w:r>
        <w:t>On June 1, 2020, the HKEX implemented reduced minimum spreads for Exchange Traded Products (</w:t>
      </w:r>
      <w:r>
        <w:rPr>
          <w:b/>
        </w:rPr>
        <w:t>ETPs</w:t>
      </w:r>
      <w:r>
        <w:t>) by 50% to 90% across various price bands to enhance trading flexibility and decrease transaction costs for investors. This change led to a narrowing of bid-ask spreads for over 70% of listed ETPs in Hong Kong, with a notable average reduction of 54% among highly traded ETPs with an ADT exceeding HK$100 million. The HKEX also improved the market-making regime for ETPs, which likely contributed to the reduced spreads.</w:t>
      </w:r>
    </w:p>
    <w:p w:rsidR="00377050" w:rsidRPr="001C6B79" w:rsidRDefault="00706722">
      <w:pPr>
        <w:pStyle w:val="BodyText"/>
        <w:rPr>
          <w:b/>
          <w:color w:val="C00000"/>
          <w:sz w:val="28"/>
          <w:szCs w:val="28"/>
        </w:rPr>
      </w:pPr>
      <w:r w:rsidRPr="001C6B79">
        <w:rPr>
          <w:b/>
          <w:color w:val="C00000"/>
          <w:sz w:val="28"/>
          <w:szCs w:val="28"/>
        </w:rPr>
        <w:t>Application of HKEX’s Proposed Minimum Spread Reductions</w:t>
      </w:r>
    </w:p>
    <w:p w:rsidR="00377050" w:rsidRDefault="00706722">
      <w:pPr>
        <w:pStyle w:val="BodyText"/>
      </w:pPr>
      <w:r>
        <w:t>The Consultation Paper’s proposals are based on its reviews of the liquidity profile of the Hong Kong securities market, international practices, recent reductions in minimum spreads in the ETP market and initial market feedback. The proposed changes would apply to equities, REITs, and equity warrants (</w:t>
      </w:r>
      <w:r>
        <w:rPr>
          <w:b/>
        </w:rPr>
        <w:t>Applicable Securities</w:t>
      </w:r>
      <w:r>
        <w:t>), while the minimum spreads for debt securities, Exchange Traded Options, ETPs and structured products would remain unchanged. This is because minimum spreads for ETPs were reduced in 2020 and are trading efficiently, while structured products and debt securities exhibit different trading behaviours and characteristics, for example, structured products are typically priced below HK$2.</w:t>
      </w:r>
    </w:p>
    <w:p w:rsidR="00377050" w:rsidRPr="001C6B79" w:rsidRDefault="00706722">
      <w:pPr>
        <w:pStyle w:val="BodyText"/>
        <w:rPr>
          <w:b/>
          <w:color w:val="C00000"/>
          <w:sz w:val="28"/>
          <w:szCs w:val="28"/>
        </w:rPr>
      </w:pPr>
      <w:r w:rsidRPr="001C6B79">
        <w:rPr>
          <w:b/>
          <w:color w:val="C00000"/>
          <w:sz w:val="28"/>
          <w:szCs w:val="28"/>
        </w:rPr>
        <w:t>Proposed Minimum Spread Reductions</w:t>
      </w:r>
    </w:p>
    <w:p w:rsidR="00377050" w:rsidRDefault="00706722">
      <w:pPr>
        <w:pStyle w:val="BodyText"/>
      </w:pPr>
      <w:r>
        <w:t>The HKEX proposal includes a phased approach to reduce minimum spreads.</w:t>
      </w:r>
    </w:p>
    <w:p w:rsidR="00377050" w:rsidRDefault="00706722">
      <w:pPr>
        <w:pStyle w:val="BodyText"/>
      </w:pPr>
      <w:r>
        <w:rPr>
          <w:b/>
        </w:rPr>
        <w:lastRenderedPageBreak/>
        <w:t>In Phase 1</w:t>
      </w:r>
      <w:r>
        <w:t>, it proposes:</w:t>
      </w:r>
    </w:p>
    <w:p w:rsidR="00377050" w:rsidRDefault="00706722">
      <w:pPr>
        <w:pStyle w:val="Compact"/>
        <w:numPr>
          <w:ilvl w:val="0"/>
          <w:numId w:val="4"/>
        </w:numPr>
      </w:pPr>
      <w:r>
        <w:t>a 50% cut in minimum spreads for securities priced between HK$10 and HK$20; and</w:t>
      </w:r>
    </w:p>
    <w:p w:rsidR="00377050" w:rsidRDefault="00706722">
      <w:pPr>
        <w:pStyle w:val="Compact"/>
        <w:numPr>
          <w:ilvl w:val="0"/>
          <w:numId w:val="4"/>
        </w:numPr>
      </w:pPr>
      <w:r>
        <w:t>a 60% cut in minimum spreads for securities priced between HK$20 and HK$50.</w:t>
      </w:r>
    </w:p>
    <w:p w:rsidR="00377050" w:rsidRDefault="00706722">
      <w:pPr>
        <w:pStyle w:val="FirstParagraph"/>
      </w:pPr>
      <w:r>
        <w:t>This group represents a significant portion of ADT and has both relatively high tick-to-price ratios and sufficient order book depth to absorb the change. The HKEX plans to observe the effects of phase 1 for six months before considering the implementation of phase 2, with its decision informed by the results of phase 1 and feedback from the market and regulators.</w:t>
      </w:r>
    </w:p>
    <w:p w:rsidR="00377050" w:rsidRDefault="00706722">
      <w:pPr>
        <w:pStyle w:val="BodyText"/>
      </w:pPr>
      <w:r>
        <w:rPr>
          <w:b/>
        </w:rPr>
        <w:t>Phase 2</w:t>
      </w:r>
      <w:r>
        <w:t>, if implemented, would:</w:t>
      </w:r>
    </w:p>
    <w:p w:rsidR="00377050" w:rsidRDefault="00706722">
      <w:pPr>
        <w:pStyle w:val="Compact"/>
        <w:numPr>
          <w:ilvl w:val="0"/>
          <w:numId w:val="5"/>
        </w:numPr>
      </w:pPr>
      <w:r>
        <w:t>introduce a 50% reduction in minimum spreads for securities priced between HK$0.5 and HK$10, which currently have high tick-to-price ratios and reasonable order book depth; and</w:t>
      </w:r>
    </w:p>
    <w:p w:rsidR="00377050" w:rsidRDefault="00706722">
      <w:pPr>
        <w:pStyle w:val="Compact"/>
        <w:numPr>
          <w:ilvl w:val="0"/>
          <w:numId w:val="5"/>
        </w:numPr>
      </w:pPr>
      <w:r>
        <w:t>exclude the most liquid stocks to avoid impacting visible liquidity.</w:t>
      </w:r>
    </w:p>
    <w:p w:rsidR="00377050" w:rsidRPr="001C6B79" w:rsidRDefault="00706722">
      <w:pPr>
        <w:pStyle w:val="FirstParagraph"/>
        <w:rPr>
          <w:b/>
        </w:rPr>
      </w:pPr>
      <w:r w:rsidRPr="001C6B79">
        <w:rPr>
          <w:b/>
        </w:rPr>
        <w:t>Price Bands Excluded from Spread Reductions</w:t>
      </w:r>
    </w:p>
    <w:p w:rsidR="00377050" w:rsidRDefault="00706722">
      <w:pPr>
        <w:pStyle w:val="BodyText"/>
      </w:pPr>
      <w:r>
        <w:t>Certain price bands are not included in the proposed spread reductions:</w:t>
      </w:r>
    </w:p>
    <w:p w:rsidR="00377050" w:rsidRDefault="00706722">
      <w:pPr>
        <w:pStyle w:val="Compact"/>
        <w:numPr>
          <w:ilvl w:val="0"/>
          <w:numId w:val="6"/>
        </w:numPr>
      </w:pPr>
      <w:r>
        <w:t>stocks priced between HK$0.01 and HK$0.25, and HK$0.25 and HK$0.5, which represent a small portion of equity ADT and are favoured by retail investors for their larger spread, will keep their current minimum spreads; and</w:t>
      </w:r>
    </w:p>
    <w:p w:rsidR="00377050" w:rsidRDefault="00706722">
      <w:pPr>
        <w:pStyle w:val="Compact"/>
        <w:numPr>
          <w:ilvl w:val="0"/>
          <w:numId w:val="6"/>
        </w:numPr>
      </w:pPr>
      <w:r>
        <w:t>stocks priced above HK$50 will also not change as their tick-to-price ratios already align with the targeted range and international practices.</w:t>
      </w:r>
    </w:p>
    <w:p w:rsidR="00377050" w:rsidRDefault="00706722">
      <w:pPr>
        <w:pStyle w:val="FirstParagraph"/>
      </w:pPr>
      <w:r>
        <w:t>The proposed changes to minimum spreads under phases 1 and 2 are summarised in the tables below.</w:t>
      </w:r>
    </w:p>
    <w:tbl>
      <w:tblPr>
        <w:tblStyle w:val="TableGrid"/>
        <w:tblpPr w:leftFromText="180" w:rightFromText="180" w:vertAnchor="text" w:horzAnchor="margin" w:tblpXSpec="center" w:tblpY="550"/>
        <w:tblW w:w="0" w:type="auto"/>
        <w:tblLook w:val="04A0" w:firstRow="1" w:lastRow="0" w:firstColumn="1" w:lastColumn="0" w:noHBand="0" w:noVBand="1"/>
      </w:tblPr>
      <w:tblGrid>
        <w:gridCol w:w="2461"/>
        <w:gridCol w:w="1404"/>
        <w:gridCol w:w="1410"/>
        <w:gridCol w:w="1351"/>
        <w:gridCol w:w="22"/>
        <w:gridCol w:w="2674"/>
      </w:tblGrid>
      <w:tr w:rsidR="001C6B79" w:rsidRPr="00DB2553" w:rsidTr="001C6B79">
        <w:tc>
          <w:tcPr>
            <w:tcW w:w="9322" w:type="dxa"/>
            <w:gridSpan w:val="6"/>
          </w:tcPr>
          <w:p w:rsidR="001C6B79" w:rsidRPr="00DB2553" w:rsidRDefault="001C6B79" w:rsidP="00014789">
            <w:pPr>
              <w:spacing w:before="180" w:after="100" w:afterAutospacing="1"/>
              <w:jc w:val="center"/>
              <w:rPr>
                <w:rFonts w:ascii="Arial" w:eastAsia="Times New Roman" w:hAnsi="Arial" w:cs="Arial"/>
                <w:b/>
                <w:color w:val="1E2124"/>
                <w:sz w:val="20"/>
                <w:szCs w:val="20"/>
              </w:rPr>
            </w:pPr>
            <w:r>
              <w:rPr>
                <w:rFonts w:ascii="Arial" w:eastAsia="Times New Roman" w:hAnsi="Arial" w:cs="Arial"/>
                <w:b/>
                <w:color w:val="1E2124"/>
                <w:sz w:val="20"/>
                <w:szCs w:val="20"/>
              </w:rPr>
              <w:t>PROPOSED MINIMUM SPREADS FOR PHASE 1</w:t>
            </w:r>
          </w:p>
        </w:tc>
      </w:tr>
      <w:tr w:rsidR="001C6B79" w:rsidRPr="00DB2553" w:rsidTr="001C6B79">
        <w:tc>
          <w:tcPr>
            <w:tcW w:w="2461" w:type="dxa"/>
          </w:tcPr>
          <w:p w:rsidR="001C6B79" w:rsidRPr="00DB2553" w:rsidRDefault="001C6B79" w:rsidP="00014789">
            <w:pPr>
              <w:spacing w:before="180" w:after="100" w:afterAutospacing="1"/>
              <w:jc w:val="center"/>
              <w:rPr>
                <w:rFonts w:ascii="Arial" w:eastAsia="Times New Roman" w:hAnsi="Arial" w:cs="Arial"/>
                <w:b/>
                <w:color w:val="1E2124"/>
                <w:sz w:val="20"/>
                <w:szCs w:val="20"/>
              </w:rPr>
            </w:pPr>
            <w:r w:rsidRPr="00DB2553">
              <w:rPr>
                <w:rFonts w:ascii="Arial" w:hAnsi="Arial" w:cs="Arial"/>
                <w:b/>
                <w:sz w:val="20"/>
                <w:szCs w:val="20"/>
              </w:rPr>
              <w:t>Price Band</w:t>
            </w:r>
            <w:r>
              <w:rPr>
                <w:rFonts w:ascii="Arial" w:hAnsi="Arial" w:cs="Arial"/>
                <w:b/>
                <w:sz w:val="20"/>
                <w:szCs w:val="20"/>
              </w:rPr>
              <w:t xml:space="preserve"> in HK$</w:t>
            </w:r>
          </w:p>
        </w:tc>
        <w:tc>
          <w:tcPr>
            <w:tcW w:w="1404" w:type="dxa"/>
          </w:tcPr>
          <w:p w:rsidR="001C6B79" w:rsidRPr="00DB2553" w:rsidRDefault="001C6B79" w:rsidP="00014789">
            <w:pPr>
              <w:spacing w:before="180" w:after="100" w:afterAutospacing="1"/>
              <w:jc w:val="center"/>
              <w:rPr>
                <w:rFonts w:ascii="Arial" w:eastAsia="Times New Roman" w:hAnsi="Arial" w:cs="Arial"/>
                <w:b/>
                <w:color w:val="1E2124"/>
                <w:sz w:val="20"/>
                <w:szCs w:val="20"/>
              </w:rPr>
            </w:pPr>
            <w:r w:rsidRPr="00DB2553">
              <w:rPr>
                <w:rFonts w:ascii="Arial" w:eastAsia="Times New Roman" w:hAnsi="Arial" w:cs="Arial"/>
                <w:b/>
                <w:color w:val="1E2124"/>
                <w:sz w:val="20"/>
                <w:szCs w:val="20"/>
              </w:rPr>
              <w:t>Original minimum spread</w:t>
            </w:r>
          </w:p>
        </w:tc>
        <w:tc>
          <w:tcPr>
            <w:tcW w:w="1410" w:type="dxa"/>
          </w:tcPr>
          <w:p w:rsidR="001C6B79" w:rsidRPr="00DB2553" w:rsidRDefault="001C6B79" w:rsidP="00014789">
            <w:pPr>
              <w:spacing w:before="180" w:after="100" w:afterAutospacing="1"/>
              <w:jc w:val="center"/>
              <w:rPr>
                <w:rFonts w:ascii="Arial" w:eastAsia="Times New Roman" w:hAnsi="Arial" w:cs="Arial"/>
                <w:b/>
                <w:color w:val="1E2124"/>
                <w:sz w:val="20"/>
                <w:szCs w:val="20"/>
              </w:rPr>
            </w:pPr>
            <w:r w:rsidRPr="00DB2553">
              <w:rPr>
                <w:rFonts w:ascii="Arial" w:eastAsia="Times New Roman" w:hAnsi="Arial" w:cs="Arial"/>
                <w:b/>
                <w:color w:val="1E2124"/>
                <w:sz w:val="20"/>
                <w:szCs w:val="20"/>
              </w:rPr>
              <w:t>Proposed minimum spread</w:t>
            </w:r>
          </w:p>
        </w:tc>
        <w:tc>
          <w:tcPr>
            <w:tcW w:w="1351" w:type="dxa"/>
          </w:tcPr>
          <w:p w:rsidR="001C6B79" w:rsidRPr="00DB2553" w:rsidRDefault="001C6B79" w:rsidP="00014789">
            <w:pPr>
              <w:spacing w:before="180" w:after="100" w:afterAutospacing="1"/>
              <w:jc w:val="center"/>
              <w:rPr>
                <w:rFonts w:ascii="Arial" w:eastAsia="Times New Roman" w:hAnsi="Arial" w:cs="Arial"/>
                <w:b/>
                <w:color w:val="1E2124"/>
                <w:sz w:val="20"/>
                <w:szCs w:val="20"/>
              </w:rPr>
            </w:pPr>
            <w:r w:rsidRPr="00DB2553">
              <w:rPr>
                <w:rFonts w:ascii="Arial" w:eastAsia="Times New Roman" w:hAnsi="Arial" w:cs="Arial"/>
                <w:b/>
                <w:color w:val="1E2124"/>
                <w:sz w:val="20"/>
                <w:szCs w:val="20"/>
              </w:rPr>
              <w:t>Original tick-to-price ratio (bps)</w:t>
            </w:r>
          </w:p>
        </w:tc>
        <w:tc>
          <w:tcPr>
            <w:tcW w:w="2696" w:type="dxa"/>
            <w:gridSpan w:val="2"/>
          </w:tcPr>
          <w:p w:rsidR="001C6B79" w:rsidRPr="00DB2553" w:rsidRDefault="001C6B79" w:rsidP="00014789">
            <w:pPr>
              <w:spacing w:before="180" w:after="100" w:afterAutospacing="1"/>
              <w:jc w:val="center"/>
              <w:rPr>
                <w:rFonts w:ascii="Arial" w:eastAsia="Times New Roman" w:hAnsi="Arial" w:cs="Arial"/>
                <w:b/>
                <w:color w:val="1E2124"/>
                <w:sz w:val="20"/>
                <w:szCs w:val="20"/>
              </w:rPr>
            </w:pPr>
            <w:r w:rsidRPr="00DB2553">
              <w:rPr>
                <w:rFonts w:ascii="Arial" w:eastAsia="Times New Roman" w:hAnsi="Arial" w:cs="Arial"/>
                <w:b/>
                <w:color w:val="1E2124"/>
                <w:sz w:val="20"/>
                <w:szCs w:val="20"/>
              </w:rPr>
              <w:t>Proposed tick-to-price ratio (bps)</w:t>
            </w:r>
          </w:p>
        </w:tc>
      </w:tr>
      <w:tr w:rsidR="001C6B79" w:rsidRPr="00DB2553" w:rsidTr="001C6B79">
        <w:tc>
          <w:tcPr>
            <w:tcW w:w="2461" w:type="dxa"/>
          </w:tcPr>
          <w:p w:rsidR="001C6B79" w:rsidRPr="00DB2553" w:rsidRDefault="001C6B79" w:rsidP="001C6B79">
            <w:pPr>
              <w:spacing w:before="180" w:after="100" w:afterAutospacing="1"/>
              <w:jc w:val="center"/>
              <w:rPr>
                <w:rFonts w:ascii="Arial" w:eastAsia="Times New Roman" w:hAnsi="Arial" w:cs="Arial"/>
                <w:color w:val="1E2124"/>
                <w:sz w:val="20"/>
                <w:szCs w:val="20"/>
              </w:rPr>
            </w:pPr>
            <w:r w:rsidRPr="00DB2553">
              <w:rPr>
                <w:rFonts w:ascii="Arial" w:hAnsi="Arial" w:cs="Arial"/>
                <w:sz w:val="20"/>
                <w:szCs w:val="20"/>
              </w:rPr>
              <w:t>From 0.01 to 0.25</w:t>
            </w:r>
          </w:p>
        </w:tc>
        <w:tc>
          <w:tcPr>
            <w:tcW w:w="2814" w:type="dxa"/>
            <w:gridSpan w:val="2"/>
          </w:tcPr>
          <w:p w:rsidR="001C6B79" w:rsidRPr="001C6B79" w:rsidRDefault="001C6B79" w:rsidP="001C6B79">
            <w:pPr>
              <w:spacing w:before="180" w:after="100" w:afterAutospacing="1"/>
              <w:jc w:val="center"/>
              <w:rPr>
                <w:rFonts w:ascii="Arial" w:eastAsia="Times New Roman" w:hAnsi="Arial" w:cs="Arial"/>
                <w:color w:val="1E2124"/>
                <w:sz w:val="20"/>
                <w:szCs w:val="20"/>
              </w:rPr>
            </w:pPr>
            <w:r w:rsidRPr="001C6B79">
              <w:rPr>
                <w:rFonts w:ascii="Arial" w:hAnsi="Arial" w:cs="Arial"/>
                <w:sz w:val="20"/>
                <w:szCs w:val="20"/>
              </w:rPr>
              <w:t>0.001</w:t>
            </w:r>
          </w:p>
        </w:tc>
        <w:tc>
          <w:tcPr>
            <w:tcW w:w="4047" w:type="dxa"/>
            <w:gridSpan w:val="3"/>
          </w:tcPr>
          <w:p w:rsidR="001C6B79" w:rsidRPr="00DB2553" w:rsidRDefault="001C6B79" w:rsidP="001C6B79">
            <w:pPr>
              <w:spacing w:before="180" w:after="100" w:afterAutospacing="1"/>
              <w:jc w:val="center"/>
              <w:rPr>
                <w:rFonts w:ascii="Arial" w:eastAsia="Times New Roman" w:hAnsi="Arial" w:cs="Arial"/>
                <w:color w:val="1E2124"/>
                <w:sz w:val="20"/>
                <w:szCs w:val="20"/>
              </w:rPr>
            </w:pPr>
            <w:r w:rsidRPr="00DB2553">
              <w:rPr>
                <w:rFonts w:ascii="Arial" w:hAnsi="Arial" w:cs="Arial"/>
                <w:sz w:val="20"/>
                <w:szCs w:val="20"/>
              </w:rPr>
              <w:t>40-1000</w:t>
            </w:r>
          </w:p>
        </w:tc>
      </w:tr>
      <w:tr w:rsidR="001C6B79" w:rsidRPr="00DB2553" w:rsidTr="001C6B79">
        <w:tc>
          <w:tcPr>
            <w:tcW w:w="2461" w:type="dxa"/>
          </w:tcPr>
          <w:p w:rsidR="001C6B79" w:rsidRPr="00DB2553" w:rsidRDefault="001C6B79" w:rsidP="001C6B79">
            <w:pPr>
              <w:spacing w:before="180" w:after="100" w:afterAutospacing="1"/>
              <w:jc w:val="center"/>
              <w:rPr>
                <w:rFonts w:ascii="Arial" w:eastAsia="Times New Roman" w:hAnsi="Arial" w:cs="Arial"/>
                <w:color w:val="1E2124"/>
                <w:sz w:val="20"/>
                <w:szCs w:val="20"/>
              </w:rPr>
            </w:pPr>
            <w:r w:rsidRPr="00DB2553">
              <w:rPr>
                <w:rFonts w:ascii="Arial" w:hAnsi="Arial" w:cs="Arial"/>
                <w:sz w:val="20"/>
                <w:szCs w:val="20"/>
              </w:rPr>
              <w:t>Over 0.25 to 0.50</w:t>
            </w:r>
          </w:p>
        </w:tc>
        <w:tc>
          <w:tcPr>
            <w:tcW w:w="2814" w:type="dxa"/>
            <w:gridSpan w:val="2"/>
          </w:tcPr>
          <w:p w:rsidR="001C6B79" w:rsidRPr="001C6B79" w:rsidRDefault="001C6B79" w:rsidP="001C6B79">
            <w:pPr>
              <w:spacing w:before="180" w:after="100" w:afterAutospacing="1"/>
              <w:jc w:val="center"/>
              <w:rPr>
                <w:rFonts w:ascii="Arial" w:eastAsia="Times New Roman" w:hAnsi="Arial" w:cs="Arial"/>
                <w:color w:val="1E2124"/>
                <w:sz w:val="20"/>
                <w:szCs w:val="20"/>
              </w:rPr>
            </w:pPr>
            <w:r w:rsidRPr="001C6B79">
              <w:rPr>
                <w:rFonts w:ascii="Arial" w:hAnsi="Arial" w:cs="Arial"/>
                <w:sz w:val="20"/>
                <w:szCs w:val="20"/>
              </w:rPr>
              <w:t>0.005</w:t>
            </w:r>
          </w:p>
        </w:tc>
        <w:tc>
          <w:tcPr>
            <w:tcW w:w="4047" w:type="dxa"/>
            <w:gridSpan w:val="3"/>
          </w:tcPr>
          <w:p w:rsidR="001C6B79" w:rsidRPr="00DB2553" w:rsidRDefault="001C6B79" w:rsidP="001C6B79">
            <w:pPr>
              <w:spacing w:before="180" w:after="100" w:afterAutospacing="1"/>
              <w:jc w:val="center"/>
              <w:rPr>
                <w:rFonts w:ascii="Arial" w:eastAsia="Times New Roman" w:hAnsi="Arial" w:cs="Arial"/>
                <w:color w:val="1E2124"/>
                <w:sz w:val="20"/>
                <w:szCs w:val="20"/>
              </w:rPr>
            </w:pPr>
            <w:r w:rsidRPr="00DB2553">
              <w:rPr>
                <w:rFonts w:ascii="Arial" w:hAnsi="Arial" w:cs="Arial"/>
                <w:sz w:val="20"/>
                <w:szCs w:val="20"/>
              </w:rPr>
              <w:t>100-200</w:t>
            </w:r>
          </w:p>
        </w:tc>
      </w:tr>
      <w:tr w:rsidR="001C6B79" w:rsidRPr="00DB2553" w:rsidTr="001C6B79">
        <w:tc>
          <w:tcPr>
            <w:tcW w:w="2461" w:type="dxa"/>
          </w:tcPr>
          <w:p w:rsidR="001C6B79" w:rsidRPr="00DB2553" w:rsidRDefault="001C6B79" w:rsidP="001C6B79">
            <w:pPr>
              <w:tabs>
                <w:tab w:val="left" w:pos="458"/>
              </w:tabs>
              <w:spacing w:before="180" w:after="100" w:afterAutospacing="1"/>
              <w:jc w:val="center"/>
              <w:rPr>
                <w:rFonts w:ascii="Arial" w:eastAsia="Times New Roman" w:hAnsi="Arial" w:cs="Arial"/>
                <w:color w:val="1E2124"/>
                <w:sz w:val="20"/>
                <w:szCs w:val="20"/>
              </w:rPr>
            </w:pPr>
            <w:r w:rsidRPr="00DB2553">
              <w:rPr>
                <w:rFonts w:ascii="Arial" w:hAnsi="Arial" w:cs="Arial"/>
                <w:sz w:val="20"/>
                <w:szCs w:val="20"/>
              </w:rPr>
              <w:t>Over 0.50 to 10.00</w:t>
            </w:r>
          </w:p>
        </w:tc>
        <w:tc>
          <w:tcPr>
            <w:tcW w:w="2814" w:type="dxa"/>
            <w:gridSpan w:val="2"/>
          </w:tcPr>
          <w:p w:rsidR="001C6B79" w:rsidRPr="001C6B79" w:rsidRDefault="001C6B79" w:rsidP="001C6B79">
            <w:pPr>
              <w:spacing w:before="180" w:after="100" w:afterAutospacing="1"/>
              <w:jc w:val="center"/>
              <w:rPr>
                <w:rFonts w:ascii="Arial" w:eastAsia="Times New Roman" w:hAnsi="Arial" w:cs="Arial"/>
                <w:color w:val="1E2124"/>
                <w:sz w:val="20"/>
                <w:szCs w:val="20"/>
              </w:rPr>
            </w:pPr>
            <w:r w:rsidRPr="001C6B79">
              <w:rPr>
                <w:rFonts w:ascii="Arial" w:hAnsi="Arial" w:cs="Arial"/>
                <w:sz w:val="20"/>
                <w:szCs w:val="20"/>
              </w:rPr>
              <w:t>0.010</w:t>
            </w:r>
          </w:p>
        </w:tc>
        <w:tc>
          <w:tcPr>
            <w:tcW w:w="4047" w:type="dxa"/>
            <w:gridSpan w:val="3"/>
          </w:tcPr>
          <w:p w:rsidR="001C6B79" w:rsidRPr="00DB2553" w:rsidRDefault="001C6B79" w:rsidP="001C6B79">
            <w:pPr>
              <w:spacing w:before="180" w:after="100" w:afterAutospacing="1"/>
              <w:jc w:val="center"/>
              <w:rPr>
                <w:rFonts w:ascii="Arial" w:eastAsia="Times New Roman" w:hAnsi="Arial" w:cs="Arial"/>
                <w:color w:val="1E2124"/>
                <w:sz w:val="20"/>
                <w:szCs w:val="20"/>
              </w:rPr>
            </w:pPr>
            <w:r w:rsidRPr="00DB2553">
              <w:rPr>
                <w:rFonts w:ascii="Arial" w:hAnsi="Arial" w:cs="Arial"/>
                <w:sz w:val="20"/>
                <w:szCs w:val="20"/>
              </w:rPr>
              <w:t>10-200</w:t>
            </w:r>
          </w:p>
        </w:tc>
      </w:tr>
      <w:tr w:rsidR="001C6B79" w:rsidRPr="00DB2553" w:rsidTr="001C6B79">
        <w:tc>
          <w:tcPr>
            <w:tcW w:w="2461" w:type="dxa"/>
          </w:tcPr>
          <w:p w:rsidR="001C6B79" w:rsidRPr="001C6B79" w:rsidRDefault="001C6B79" w:rsidP="001C6B79">
            <w:pPr>
              <w:spacing w:before="180" w:after="100" w:afterAutospacing="1"/>
              <w:ind w:left="458"/>
              <w:rPr>
                <w:rFonts w:ascii="Arial" w:eastAsia="Times New Roman" w:hAnsi="Arial" w:cs="Arial"/>
                <w:color w:val="1E2124"/>
                <w:sz w:val="20"/>
                <w:szCs w:val="20"/>
              </w:rPr>
            </w:pPr>
            <w:r w:rsidRPr="001C6B79">
              <w:rPr>
                <w:rFonts w:ascii="Arial" w:hAnsi="Arial" w:cs="Arial"/>
                <w:sz w:val="20"/>
                <w:szCs w:val="20"/>
              </w:rPr>
              <w:t>0.50 to 1.00</w:t>
            </w:r>
          </w:p>
        </w:tc>
        <w:tc>
          <w:tcPr>
            <w:tcW w:w="2814" w:type="dxa"/>
            <w:gridSpan w:val="2"/>
          </w:tcPr>
          <w:p w:rsidR="001C6B79" w:rsidRPr="001C6B79" w:rsidRDefault="001C6B79" w:rsidP="001C6B79">
            <w:pPr>
              <w:spacing w:before="180" w:after="100" w:afterAutospacing="1"/>
              <w:jc w:val="center"/>
              <w:rPr>
                <w:rFonts w:ascii="Arial" w:eastAsia="Times New Roman" w:hAnsi="Arial" w:cs="Arial"/>
                <w:color w:val="1E2124"/>
                <w:sz w:val="20"/>
                <w:szCs w:val="20"/>
              </w:rPr>
            </w:pPr>
            <w:r w:rsidRPr="001C6B79">
              <w:rPr>
                <w:rFonts w:ascii="Arial" w:hAnsi="Arial" w:cs="Arial"/>
                <w:sz w:val="20"/>
                <w:szCs w:val="20"/>
              </w:rPr>
              <w:t>0.010</w:t>
            </w:r>
          </w:p>
        </w:tc>
        <w:tc>
          <w:tcPr>
            <w:tcW w:w="4047" w:type="dxa"/>
            <w:gridSpan w:val="3"/>
          </w:tcPr>
          <w:p w:rsidR="001C6B79" w:rsidRPr="00DB2553" w:rsidRDefault="001C6B79" w:rsidP="001C6B79">
            <w:pPr>
              <w:spacing w:before="180" w:after="100" w:afterAutospacing="1"/>
              <w:jc w:val="center"/>
              <w:rPr>
                <w:rFonts w:ascii="Arial" w:eastAsia="Times New Roman" w:hAnsi="Arial" w:cs="Arial"/>
                <w:color w:val="1E2124"/>
                <w:sz w:val="20"/>
                <w:szCs w:val="20"/>
              </w:rPr>
            </w:pPr>
            <w:r w:rsidRPr="00DB2553">
              <w:rPr>
                <w:rFonts w:ascii="Arial" w:hAnsi="Arial" w:cs="Arial"/>
                <w:sz w:val="20"/>
                <w:szCs w:val="20"/>
              </w:rPr>
              <w:t>100-200</w:t>
            </w:r>
          </w:p>
        </w:tc>
      </w:tr>
      <w:tr w:rsidR="001C6B79" w:rsidRPr="00DB2553" w:rsidTr="001C6B79">
        <w:tc>
          <w:tcPr>
            <w:tcW w:w="2461" w:type="dxa"/>
          </w:tcPr>
          <w:p w:rsidR="001C6B79" w:rsidRPr="001C6B79" w:rsidRDefault="001C6B79" w:rsidP="001C6B79">
            <w:pPr>
              <w:spacing w:before="180" w:after="100" w:afterAutospacing="1"/>
              <w:ind w:left="458"/>
              <w:rPr>
                <w:rFonts w:ascii="Arial" w:hAnsi="Arial" w:cs="Arial"/>
                <w:sz w:val="20"/>
                <w:szCs w:val="20"/>
              </w:rPr>
            </w:pPr>
            <w:r w:rsidRPr="001C6B79">
              <w:rPr>
                <w:rFonts w:ascii="Arial" w:hAnsi="Arial" w:cs="Arial"/>
                <w:sz w:val="20"/>
                <w:szCs w:val="20"/>
              </w:rPr>
              <w:t>1.00 to 2.00</w:t>
            </w:r>
          </w:p>
        </w:tc>
        <w:tc>
          <w:tcPr>
            <w:tcW w:w="2814" w:type="dxa"/>
            <w:gridSpan w:val="2"/>
          </w:tcPr>
          <w:p w:rsidR="001C6B79" w:rsidRPr="001C6B79" w:rsidRDefault="001C6B79" w:rsidP="001C6B79">
            <w:pPr>
              <w:spacing w:before="180" w:after="100" w:afterAutospacing="1"/>
              <w:jc w:val="center"/>
              <w:rPr>
                <w:rFonts w:ascii="Arial" w:eastAsia="Times New Roman" w:hAnsi="Arial" w:cs="Arial"/>
                <w:color w:val="1E2124"/>
                <w:sz w:val="20"/>
                <w:szCs w:val="20"/>
              </w:rPr>
            </w:pPr>
            <w:r w:rsidRPr="001C6B79">
              <w:rPr>
                <w:rFonts w:ascii="Arial" w:hAnsi="Arial" w:cs="Arial"/>
                <w:sz w:val="20"/>
                <w:szCs w:val="20"/>
              </w:rPr>
              <w:t>0.010</w:t>
            </w:r>
          </w:p>
        </w:tc>
        <w:tc>
          <w:tcPr>
            <w:tcW w:w="4047" w:type="dxa"/>
            <w:gridSpan w:val="3"/>
          </w:tcPr>
          <w:p w:rsidR="001C6B79" w:rsidRPr="00DB2553" w:rsidRDefault="001C6B79" w:rsidP="001C6B79">
            <w:pPr>
              <w:spacing w:before="180" w:after="100" w:afterAutospacing="1"/>
              <w:jc w:val="center"/>
              <w:rPr>
                <w:rFonts w:ascii="Arial" w:eastAsia="Times New Roman" w:hAnsi="Arial" w:cs="Arial"/>
                <w:color w:val="1E2124"/>
                <w:sz w:val="20"/>
                <w:szCs w:val="20"/>
              </w:rPr>
            </w:pPr>
            <w:r w:rsidRPr="00DB2553">
              <w:rPr>
                <w:rFonts w:ascii="Arial" w:hAnsi="Arial" w:cs="Arial"/>
                <w:sz w:val="20"/>
                <w:szCs w:val="20"/>
              </w:rPr>
              <w:t>50-100</w:t>
            </w:r>
          </w:p>
        </w:tc>
      </w:tr>
      <w:tr w:rsidR="001C6B79" w:rsidRPr="00DB2553" w:rsidTr="001C6B79">
        <w:trPr>
          <w:trHeight w:val="613"/>
        </w:trPr>
        <w:tc>
          <w:tcPr>
            <w:tcW w:w="2461" w:type="dxa"/>
          </w:tcPr>
          <w:p w:rsidR="001C6B79" w:rsidRPr="001C6B79" w:rsidRDefault="001C6B79" w:rsidP="001C6B79">
            <w:pPr>
              <w:spacing w:before="180" w:after="100" w:afterAutospacing="1"/>
              <w:ind w:left="458"/>
              <w:rPr>
                <w:rFonts w:ascii="Arial" w:hAnsi="Arial" w:cs="Arial"/>
                <w:sz w:val="20"/>
                <w:szCs w:val="20"/>
              </w:rPr>
            </w:pPr>
            <w:r w:rsidRPr="001C6B79">
              <w:rPr>
                <w:rFonts w:ascii="Arial" w:hAnsi="Arial" w:cs="Arial"/>
                <w:sz w:val="20"/>
                <w:szCs w:val="20"/>
              </w:rPr>
              <w:t>2.00 to 5.00</w:t>
            </w:r>
          </w:p>
        </w:tc>
        <w:tc>
          <w:tcPr>
            <w:tcW w:w="2814" w:type="dxa"/>
            <w:gridSpan w:val="2"/>
          </w:tcPr>
          <w:p w:rsidR="001C6B79" w:rsidRPr="001C6B79" w:rsidRDefault="001C6B79" w:rsidP="001C6B79">
            <w:pPr>
              <w:spacing w:before="180" w:after="100" w:afterAutospacing="1"/>
              <w:jc w:val="center"/>
              <w:rPr>
                <w:rFonts w:ascii="Arial" w:eastAsia="Times New Roman" w:hAnsi="Arial" w:cs="Arial"/>
                <w:color w:val="1E2124"/>
                <w:sz w:val="20"/>
                <w:szCs w:val="20"/>
              </w:rPr>
            </w:pPr>
            <w:r w:rsidRPr="001C6B79">
              <w:rPr>
                <w:rFonts w:ascii="Arial" w:hAnsi="Arial" w:cs="Arial"/>
                <w:sz w:val="20"/>
                <w:szCs w:val="20"/>
              </w:rPr>
              <w:t>0.010</w:t>
            </w:r>
          </w:p>
        </w:tc>
        <w:tc>
          <w:tcPr>
            <w:tcW w:w="4047" w:type="dxa"/>
            <w:gridSpan w:val="3"/>
          </w:tcPr>
          <w:p w:rsidR="001C6B79" w:rsidRPr="00DB2553" w:rsidRDefault="001C6B79" w:rsidP="001C6B79">
            <w:pPr>
              <w:spacing w:before="180" w:after="100" w:afterAutospacing="1"/>
              <w:jc w:val="center"/>
              <w:rPr>
                <w:rFonts w:ascii="Arial" w:eastAsia="Times New Roman" w:hAnsi="Arial" w:cs="Arial"/>
                <w:color w:val="1E2124"/>
                <w:sz w:val="20"/>
                <w:szCs w:val="20"/>
              </w:rPr>
            </w:pPr>
            <w:r w:rsidRPr="00DB2553">
              <w:rPr>
                <w:rFonts w:ascii="Arial" w:hAnsi="Arial" w:cs="Arial"/>
                <w:sz w:val="20"/>
                <w:szCs w:val="20"/>
              </w:rPr>
              <w:t>20-50</w:t>
            </w:r>
          </w:p>
        </w:tc>
      </w:tr>
      <w:tr w:rsidR="001C6B79" w:rsidRPr="00DB2553" w:rsidTr="001C6B79">
        <w:tc>
          <w:tcPr>
            <w:tcW w:w="2461" w:type="dxa"/>
          </w:tcPr>
          <w:p w:rsidR="001C6B79" w:rsidRPr="001C6B79" w:rsidRDefault="001C6B79" w:rsidP="001C6B79">
            <w:pPr>
              <w:spacing w:before="180" w:after="100" w:afterAutospacing="1"/>
              <w:ind w:left="458"/>
              <w:rPr>
                <w:rFonts w:ascii="Arial" w:hAnsi="Arial" w:cs="Arial"/>
                <w:sz w:val="20"/>
                <w:szCs w:val="20"/>
              </w:rPr>
            </w:pPr>
            <w:r w:rsidRPr="001C6B79">
              <w:rPr>
                <w:rFonts w:ascii="Arial" w:hAnsi="Arial" w:cs="Arial"/>
                <w:sz w:val="20"/>
                <w:szCs w:val="20"/>
              </w:rPr>
              <w:t>5.00 to 10.00</w:t>
            </w:r>
          </w:p>
        </w:tc>
        <w:tc>
          <w:tcPr>
            <w:tcW w:w="2814" w:type="dxa"/>
            <w:gridSpan w:val="2"/>
          </w:tcPr>
          <w:p w:rsidR="001C6B79" w:rsidRPr="001C6B79" w:rsidRDefault="001C6B79" w:rsidP="001C6B79">
            <w:pPr>
              <w:spacing w:before="180" w:after="100" w:afterAutospacing="1"/>
              <w:jc w:val="center"/>
              <w:rPr>
                <w:rFonts w:ascii="Arial" w:eastAsia="Times New Roman" w:hAnsi="Arial" w:cs="Arial"/>
                <w:color w:val="1E2124"/>
                <w:sz w:val="20"/>
                <w:szCs w:val="20"/>
              </w:rPr>
            </w:pPr>
            <w:r w:rsidRPr="001C6B79">
              <w:rPr>
                <w:rFonts w:ascii="Arial" w:hAnsi="Arial" w:cs="Arial"/>
                <w:sz w:val="20"/>
                <w:szCs w:val="20"/>
              </w:rPr>
              <w:t>0.010</w:t>
            </w:r>
          </w:p>
        </w:tc>
        <w:tc>
          <w:tcPr>
            <w:tcW w:w="4047" w:type="dxa"/>
            <w:gridSpan w:val="3"/>
          </w:tcPr>
          <w:p w:rsidR="001C6B79" w:rsidRPr="00DB2553" w:rsidRDefault="001C6B79" w:rsidP="001C6B79">
            <w:pPr>
              <w:spacing w:before="180" w:after="100" w:afterAutospacing="1"/>
              <w:jc w:val="center"/>
              <w:rPr>
                <w:rFonts w:ascii="Arial" w:eastAsia="Times New Roman" w:hAnsi="Arial" w:cs="Arial"/>
                <w:color w:val="1E2124"/>
                <w:sz w:val="20"/>
                <w:szCs w:val="20"/>
              </w:rPr>
            </w:pPr>
            <w:r w:rsidRPr="00DB2553">
              <w:rPr>
                <w:rFonts w:ascii="Arial" w:hAnsi="Arial" w:cs="Arial"/>
                <w:sz w:val="20"/>
                <w:szCs w:val="20"/>
              </w:rPr>
              <w:t>10-20</w:t>
            </w:r>
          </w:p>
        </w:tc>
      </w:tr>
      <w:tr w:rsidR="001C6B79" w:rsidRPr="00CE799B" w:rsidTr="001C6B79">
        <w:tc>
          <w:tcPr>
            <w:tcW w:w="2461" w:type="dxa"/>
          </w:tcPr>
          <w:p w:rsidR="001C6B79" w:rsidRPr="00DB2553" w:rsidRDefault="001C6B79" w:rsidP="001C6B79">
            <w:pPr>
              <w:spacing w:before="180" w:after="100" w:afterAutospacing="1"/>
              <w:jc w:val="center"/>
              <w:rPr>
                <w:rFonts w:ascii="Arial" w:eastAsia="Times New Roman" w:hAnsi="Arial" w:cs="Arial"/>
                <w:b/>
                <w:color w:val="1E2124"/>
                <w:sz w:val="20"/>
                <w:szCs w:val="20"/>
              </w:rPr>
            </w:pPr>
            <w:r w:rsidRPr="00DB2553">
              <w:rPr>
                <w:rFonts w:ascii="Arial" w:hAnsi="Arial" w:cs="Arial"/>
                <w:b/>
                <w:sz w:val="20"/>
                <w:szCs w:val="20"/>
              </w:rPr>
              <w:t>Over 10.00 to 20.00</w:t>
            </w:r>
          </w:p>
        </w:tc>
        <w:tc>
          <w:tcPr>
            <w:tcW w:w="1404" w:type="dxa"/>
          </w:tcPr>
          <w:p w:rsidR="001C6B79" w:rsidRPr="00CE799B" w:rsidRDefault="001C6B79" w:rsidP="001C6B79">
            <w:pPr>
              <w:spacing w:before="180" w:after="100" w:afterAutospacing="1"/>
              <w:jc w:val="center"/>
              <w:rPr>
                <w:rFonts w:ascii="Arial" w:eastAsia="Times New Roman" w:hAnsi="Arial" w:cs="Arial"/>
                <w:b/>
                <w:color w:val="1E2124"/>
                <w:sz w:val="20"/>
                <w:szCs w:val="20"/>
              </w:rPr>
            </w:pPr>
            <w:r w:rsidRPr="00CE799B">
              <w:rPr>
                <w:rFonts w:ascii="Arial" w:hAnsi="Arial" w:cs="Arial"/>
                <w:b/>
                <w:sz w:val="20"/>
                <w:szCs w:val="20"/>
              </w:rPr>
              <w:t>0.020</w:t>
            </w:r>
          </w:p>
        </w:tc>
        <w:tc>
          <w:tcPr>
            <w:tcW w:w="1410" w:type="dxa"/>
          </w:tcPr>
          <w:p w:rsidR="001C6B79" w:rsidRPr="00CE799B" w:rsidRDefault="001C6B79" w:rsidP="001C6B79">
            <w:pPr>
              <w:spacing w:before="180" w:after="100" w:afterAutospacing="1"/>
              <w:jc w:val="center"/>
              <w:rPr>
                <w:rFonts w:ascii="Arial" w:eastAsia="Times New Roman" w:hAnsi="Arial" w:cs="Arial"/>
                <w:color w:val="1E2124"/>
                <w:sz w:val="20"/>
                <w:szCs w:val="20"/>
              </w:rPr>
            </w:pPr>
            <w:r w:rsidRPr="00CE799B">
              <w:rPr>
                <w:rFonts w:ascii="Arial" w:hAnsi="Arial" w:cs="Arial"/>
                <w:b/>
                <w:sz w:val="20"/>
                <w:szCs w:val="20"/>
              </w:rPr>
              <w:t>0.010</w:t>
            </w:r>
            <w:r w:rsidRPr="00CE799B">
              <w:rPr>
                <w:rFonts w:ascii="Arial" w:hAnsi="Arial" w:cs="Arial"/>
                <w:sz w:val="20"/>
                <w:szCs w:val="20"/>
              </w:rPr>
              <w:t xml:space="preserve"> </w:t>
            </w:r>
            <w:r w:rsidRPr="00CE799B">
              <w:rPr>
                <w:rFonts w:ascii="Arial" w:hAnsi="Arial" w:cs="Arial"/>
                <w:b/>
                <w:color w:val="FF0000"/>
                <w:sz w:val="20"/>
                <w:szCs w:val="20"/>
              </w:rPr>
              <w:t>(-50%)</w:t>
            </w:r>
          </w:p>
        </w:tc>
        <w:tc>
          <w:tcPr>
            <w:tcW w:w="1373" w:type="dxa"/>
            <w:gridSpan w:val="2"/>
          </w:tcPr>
          <w:p w:rsidR="001C6B79" w:rsidRPr="00CE799B" w:rsidRDefault="001C6B79" w:rsidP="001C6B79">
            <w:pPr>
              <w:spacing w:before="180" w:after="100" w:afterAutospacing="1"/>
              <w:jc w:val="center"/>
              <w:rPr>
                <w:rFonts w:ascii="Arial" w:eastAsia="Times New Roman" w:hAnsi="Arial" w:cs="Arial"/>
                <w:b/>
                <w:color w:val="1E2124"/>
                <w:sz w:val="20"/>
                <w:szCs w:val="20"/>
              </w:rPr>
            </w:pPr>
            <w:r w:rsidRPr="00CE799B">
              <w:rPr>
                <w:rFonts w:ascii="Arial" w:hAnsi="Arial" w:cs="Arial"/>
                <w:b/>
                <w:sz w:val="20"/>
                <w:szCs w:val="20"/>
              </w:rPr>
              <w:t>10-20</w:t>
            </w:r>
          </w:p>
        </w:tc>
        <w:tc>
          <w:tcPr>
            <w:tcW w:w="2674" w:type="dxa"/>
          </w:tcPr>
          <w:p w:rsidR="001C6B79" w:rsidRPr="00CE799B" w:rsidRDefault="001C6B79" w:rsidP="001C6B79">
            <w:pPr>
              <w:spacing w:before="180" w:after="100" w:afterAutospacing="1"/>
              <w:jc w:val="center"/>
              <w:rPr>
                <w:rFonts w:ascii="Arial" w:eastAsia="Times New Roman" w:hAnsi="Arial" w:cs="Arial"/>
                <w:color w:val="1E2124"/>
                <w:sz w:val="20"/>
                <w:szCs w:val="20"/>
              </w:rPr>
            </w:pPr>
            <w:r w:rsidRPr="00CE799B">
              <w:rPr>
                <w:rFonts w:ascii="Arial" w:hAnsi="Arial" w:cs="Arial"/>
                <w:b/>
                <w:sz w:val="20"/>
                <w:szCs w:val="20"/>
              </w:rPr>
              <w:t>5-10</w:t>
            </w:r>
            <w:r w:rsidRPr="00CE799B">
              <w:rPr>
                <w:rFonts w:ascii="Arial" w:hAnsi="Arial" w:cs="Arial"/>
                <w:sz w:val="20"/>
                <w:szCs w:val="20"/>
              </w:rPr>
              <w:t xml:space="preserve"> </w:t>
            </w:r>
            <w:r w:rsidRPr="00CE799B">
              <w:rPr>
                <w:rFonts w:ascii="Arial" w:hAnsi="Arial" w:cs="Arial"/>
                <w:b/>
                <w:color w:val="FF0000"/>
                <w:sz w:val="20"/>
                <w:szCs w:val="20"/>
              </w:rPr>
              <w:t>(-50%)</w:t>
            </w:r>
          </w:p>
        </w:tc>
      </w:tr>
      <w:tr w:rsidR="001C6B79" w:rsidRPr="00CE799B" w:rsidTr="001C6B79">
        <w:tc>
          <w:tcPr>
            <w:tcW w:w="2461" w:type="dxa"/>
          </w:tcPr>
          <w:p w:rsidR="001C6B79" w:rsidRPr="00CE799B" w:rsidRDefault="001C6B79" w:rsidP="001C6B79">
            <w:pPr>
              <w:spacing w:before="180" w:after="100" w:afterAutospacing="1"/>
              <w:jc w:val="center"/>
              <w:rPr>
                <w:rFonts w:ascii="Arial" w:eastAsia="Times New Roman" w:hAnsi="Arial" w:cs="Arial"/>
                <w:b/>
                <w:color w:val="1E2124"/>
                <w:sz w:val="20"/>
                <w:szCs w:val="20"/>
              </w:rPr>
            </w:pPr>
            <w:r w:rsidRPr="00CE799B">
              <w:rPr>
                <w:rFonts w:ascii="Arial" w:hAnsi="Arial" w:cs="Arial"/>
                <w:b/>
                <w:sz w:val="20"/>
                <w:szCs w:val="20"/>
              </w:rPr>
              <w:t>Over 20.00 to 100.00</w:t>
            </w:r>
          </w:p>
        </w:tc>
        <w:tc>
          <w:tcPr>
            <w:tcW w:w="1404" w:type="dxa"/>
          </w:tcPr>
          <w:p w:rsidR="001C6B79" w:rsidRPr="00CE799B" w:rsidRDefault="001C6B79" w:rsidP="001C6B79">
            <w:pPr>
              <w:spacing w:before="180" w:after="100" w:afterAutospacing="1"/>
              <w:jc w:val="center"/>
              <w:rPr>
                <w:rFonts w:ascii="Arial" w:eastAsia="Times New Roman" w:hAnsi="Arial" w:cs="Arial"/>
                <w:b/>
                <w:color w:val="1E2124"/>
                <w:sz w:val="20"/>
                <w:szCs w:val="20"/>
              </w:rPr>
            </w:pPr>
            <w:r w:rsidRPr="00CE799B">
              <w:rPr>
                <w:rFonts w:ascii="Arial" w:hAnsi="Arial" w:cs="Arial"/>
                <w:b/>
                <w:sz w:val="20"/>
                <w:szCs w:val="20"/>
              </w:rPr>
              <w:t>0.050</w:t>
            </w:r>
          </w:p>
        </w:tc>
        <w:tc>
          <w:tcPr>
            <w:tcW w:w="1410" w:type="dxa"/>
          </w:tcPr>
          <w:p w:rsidR="001C6B79" w:rsidRPr="00CE799B" w:rsidRDefault="001C6B79" w:rsidP="001C6B79">
            <w:pPr>
              <w:spacing w:before="180" w:after="100" w:afterAutospacing="1"/>
              <w:jc w:val="center"/>
              <w:rPr>
                <w:rFonts w:ascii="Arial" w:eastAsia="Times New Roman" w:hAnsi="Arial" w:cs="Arial"/>
                <w:color w:val="1E2124"/>
                <w:sz w:val="20"/>
                <w:szCs w:val="20"/>
              </w:rPr>
            </w:pPr>
            <w:r w:rsidRPr="00CE799B">
              <w:rPr>
                <w:rFonts w:ascii="Arial" w:hAnsi="Arial" w:cs="Arial"/>
                <w:b/>
                <w:sz w:val="20"/>
                <w:szCs w:val="20"/>
              </w:rPr>
              <w:t xml:space="preserve">0.020 </w:t>
            </w:r>
            <w:r w:rsidRPr="00CE799B">
              <w:rPr>
                <w:rFonts w:ascii="Arial" w:hAnsi="Arial" w:cs="Arial"/>
                <w:b/>
                <w:color w:val="FF0000"/>
                <w:sz w:val="20"/>
                <w:szCs w:val="20"/>
              </w:rPr>
              <w:t>(-60%)</w:t>
            </w:r>
            <w:r w:rsidRPr="00CE799B">
              <w:rPr>
                <w:rFonts w:ascii="Arial" w:hAnsi="Arial" w:cs="Arial"/>
                <w:sz w:val="20"/>
                <w:szCs w:val="20"/>
              </w:rPr>
              <w:t xml:space="preserve"> </w:t>
            </w:r>
            <w:r w:rsidRPr="00CE799B">
              <w:rPr>
                <w:rFonts w:ascii="Arial" w:hAnsi="Arial" w:cs="Arial"/>
                <w:b/>
                <w:sz w:val="20"/>
                <w:szCs w:val="20"/>
              </w:rPr>
              <w:t>/0.050</w:t>
            </w:r>
          </w:p>
        </w:tc>
        <w:tc>
          <w:tcPr>
            <w:tcW w:w="1373" w:type="dxa"/>
            <w:gridSpan w:val="2"/>
          </w:tcPr>
          <w:p w:rsidR="001C6B79" w:rsidRPr="00CE799B" w:rsidRDefault="001C6B79" w:rsidP="001C6B79">
            <w:pPr>
              <w:spacing w:before="180" w:after="100" w:afterAutospacing="1"/>
              <w:jc w:val="center"/>
              <w:rPr>
                <w:rFonts w:ascii="Arial" w:eastAsia="Times New Roman" w:hAnsi="Arial" w:cs="Arial"/>
                <w:b/>
                <w:color w:val="1E2124"/>
                <w:sz w:val="20"/>
                <w:szCs w:val="20"/>
              </w:rPr>
            </w:pPr>
            <w:r w:rsidRPr="00CE799B">
              <w:rPr>
                <w:rFonts w:ascii="Arial" w:hAnsi="Arial" w:cs="Arial"/>
                <w:b/>
                <w:sz w:val="20"/>
                <w:szCs w:val="20"/>
              </w:rPr>
              <w:t>5-25</w:t>
            </w:r>
          </w:p>
        </w:tc>
        <w:tc>
          <w:tcPr>
            <w:tcW w:w="2674" w:type="dxa"/>
          </w:tcPr>
          <w:p w:rsidR="001C6B79" w:rsidRPr="00CE799B" w:rsidRDefault="001C6B79" w:rsidP="001C6B79">
            <w:pPr>
              <w:spacing w:before="180" w:after="100" w:afterAutospacing="1"/>
              <w:jc w:val="center"/>
              <w:rPr>
                <w:rFonts w:ascii="Arial" w:eastAsia="Times New Roman" w:hAnsi="Arial" w:cs="Arial"/>
                <w:color w:val="1E2124"/>
                <w:sz w:val="20"/>
                <w:szCs w:val="20"/>
              </w:rPr>
            </w:pPr>
            <w:r w:rsidRPr="00CE799B">
              <w:rPr>
                <w:rFonts w:ascii="Arial" w:hAnsi="Arial" w:cs="Arial"/>
                <w:b/>
                <w:sz w:val="20"/>
                <w:szCs w:val="20"/>
              </w:rPr>
              <w:t>4-10</w:t>
            </w:r>
            <w:r w:rsidRPr="00CE799B">
              <w:rPr>
                <w:rFonts w:ascii="Arial" w:hAnsi="Arial" w:cs="Arial"/>
                <w:sz w:val="20"/>
                <w:szCs w:val="20"/>
              </w:rPr>
              <w:t xml:space="preserve"> </w:t>
            </w:r>
            <w:r w:rsidRPr="00CE799B">
              <w:rPr>
                <w:rFonts w:ascii="Arial" w:hAnsi="Arial" w:cs="Arial"/>
                <w:b/>
                <w:color w:val="FF0000"/>
                <w:sz w:val="20"/>
                <w:szCs w:val="20"/>
              </w:rPr>
              <w:t>(-60%)</w:t>
            </w:r>
            <w:r w:rsidRPr="00CE799B">
              <w:rPr>
                <w:rFonts w:ascii="Arial" w:hAnsi="Arial" w:cs="Arial"/>
                <w:sz w:val="20"/>
                <w:szCs w:val="20"/>
              </w:rPr>
              <w:t xml:space="preserve"> </w:t>
            </w:r>
            <w:r w:rsidRPr="00CE799B">
              <w:rPr>
                <w:rFonts w:ascii="Arial" w:hAnsi="Arial" w:cs="Arial"/>
                <w:b/>
                <w:sz w:val="20"/>
                <w:szCs w:val="20"/>
              </w:rPr>
              <w:t xml:space="preserve"> /</w:t>
            </w:r>
            <w:r>
              <w:rPr>
                <w:rFonts w:ascii="Arial" w:hAnsi="Arial" w:cs="Arial"/>
                <w:b/>
                <w:sz w:val="20"/>
                <w:szCs w:val="20"/>
              </w:rPr>
              <w:t xml:space="preserve"> </w:t>
            </w:r>
            <w:r w:rsidRPr="00CE799B">
              <w:rPr>
                <w:rFonts w:ascii="Arial" w:hAnsi="Arial" w:cs="Arial"/>
                <w:b/>
                <w:sz w:val="20"/>
                <w:szCs w:val="20"/>
              </w:rPr>
              <w:t>5-10</w:t>
            </w:r>
          </w:p>
        </w:tc>
      </w:tr>
      <w:tr w:rsidR="001C6B79" w:rsidRPr="00CE799B" w:rsidTr="001C6B79">
        <w:tc>
          <w:tcPr>
            <w:tcW w:w="2461" w:type="dxa"/>
          </w:tcPr>
          <w:p w:rsidR="001C6B79" w:rsidRPr="00CE799B" w:rsidRDefault="001C6B79" w:rsidP="001C6B79">
            <w:pPr>
              <w:spacing w:before="180" w:after="100" w:afterAutospacing="1"/>
              <w:ind w:firstLine="458"/>
              <w:rPr>
                <w:rFonts w:ascii="Arial" w:eastAsia="Times New Roman" w:hAnsi="Arial" w:cs="Arial"/>
                <w:b/>
                <w:color w:val="1E2124"/>
                <w:sz w:val="20"/>
                <w:szCs w:val="20"/>
              </w:rPr>
            </w:pPr>
            <w:r w:rsidRPr="00CE799B">
              <w:rPr>
                <w:rFonts w:ascii="Arial" w:hAnsi="Arial" w:cs="Arial"/>
                <w:b/>
                <w:sz w:val="20"/>
                <w:szCs w:val="20"/>
              </w:rPr>
              <w:t>20.00 to 50.00</w:t>
            </w:r>
          </w:p>
        </w:tc>
        <w:tc>
          <w:tcPr>
            <w:tcW w:w="1404" w:type="dxa"/>
          </w:tcPr>
          <w:p w:rsidR="001C6B79" w:rsidRPr="00CE799B" w:rsidRDefault="001C6B79" w:rsidP="001C6B79">
            <w:pPr>
              <w:spacing w:before="180" w:after="100" w:afterAutospacing="1"/>
              <w:jc w:val="center"/>
              <w:rPr>
                <w:rFonts w:ascii="Arial" w:eastAsia="Times New Roman" w:hAnsi="Arial" w:cs="Arial"/>
                <w:b/>
                <w:color w:val="1E2124"/>
                <w:sz w:val="20"/>
                <w:szCs w:val="20"/>
              </w:rPr>
            </w:pPr>
            <w:r w:rsidRPr="00CE799B">
              <w:rPr>
                <w:rFonts w:ascii="Arial" w:hAnsi="Arial" w:cs="Arial"/>
                <w:b/>
                <w:sz w:val="20"/>
                <w:szCs w:val="20"/>
              </w:rPr>
              <w:t>0.050</w:t>
            </w:r>
          </w:p>
        </w:tc>
        <w:tc>
          <w:tcPr>
            <w:tcW w:w="1410" w:type="dxa"/>
          </w:tcPr>
          <w:p w:rsidR="001C6B79" w:rsidRPr="00CE799B" w:rsidRDefault="001C6B79" w:rsidP="001C6B79">
            <w:pPr>
              <w:spacing w:before="180" w:after="100" w:afterAutospacing="1"/>
              <w:jc w:val="center"/>
              <w:rPr>
                <w:rFonts w:ascii="Arial" w:eastAsia="Times New Roman" w:hAnsi="Arial" w:cs="Arial"/>
                <w:color w:val="1E2124"/>
                <w:sz w:val="20"/>
                <w:szCs w:val="20"/>
              </w:rPr>
            </w:pPr>
            <w:r w:rsidRPr="00CE799B">
              <w:rPr>
                <w:rFonts w:ascii="Arial" w:hAnsi="Arial" w:cs="Arial"/>
                <w:b/>
                <w:sz w:val="20"/>
                <w:szCs w:val="20"/>
              </w:rPr>
              <w:t xml:space="preserve">0.020 </w:t>
            </w:r>
            <w:r w:rsidRPr="00CE799B">
              <w:rPr>
                <w:rFonts w:ascii="Arial" w:hAnsi="Arial" w:cs="Arial"/>
                <w:b/>
                <w:color w:val="FF0000"/>
                <w:sz w:val="20"/>
                <w:szCs w:val="20"/>
              </w:rPr>
              <w:t>(-60%)</w:t>
            </w:r>
          </w:p>
        </w:tc>
        <w:tc>
          <w:tcPr>
            <w:tcW w:w="1373" w:type="dxa"/>
            <w:gridSpan w:val="2"/>
          </w:tcPr>
          <w:p w:rsidR="001C6B79" w:rsidRPr="001C6B79" w:rsidRDefault="001C6B79" w:rsidP="001C6B79">
            <w:pPr>
              <w:spacing w:before="180" w:after="100" w:afterAutospacing="1"/>
              <w:jc w:val="center"/>
              <w:rPr>
                <w:rFonts w:ascii="Arial" w:eastAsia="Times New Roman" w:hAnsi="Arial" w:cs="Arial"/>
                <w:color w:val="1E2124"/>
                <w:sz w:val="20"/>
                <w:szCs w:val="20"/>
              </w:rPr>
            </w:pPr>
            <w:r w:rsidRPr="001C6B79">
              <w:rPr>
                <w:rFonts w:ascii="Arial" w:hAnsi="Arial" w:cs="Arial"/>
                <w:b/>
                <w:sz w:val="20"/>
                <w:szCs w:val="20"/>
              </w:rPr>
              <w:t>10-25</w:t>
            </w:r>
          </w:p>
        </w:tc>
        <w:tc>
          <w:tcPr>
            <w:tcW w:w="2674" w:type="dxa"/>
          </w:tcPr>
          <w:p w:rsidR="001C6B79" w:rsidRPr="00CE799B" w:rsidRDefault="001C6B79" w:rsidP="001C6B79">
            <w:pPr>
              <w:spacing w:before="180" w:after="100" w:afterAutospacing="1"/>
              <w:jc w:val="center"/>
              <w:rPr>
                <w:rFonts w:ascii="Arial" w:eastAsia="Times New Roman" w:hAnsi="Arial" w:cs="Arial"/>
                <w:color w:val="1E2124"/>
                <w:sz w:val="20"/>
                <w:szCs w:val="20"/>
              </w:rPr>
            </w:pPr>
            <w:r w:rsidRPr="001C6B79">
              <w:rPr>
                <w:rFonts w:ascii="Arial" w:hAnsi="Arial" w:cs="Arial"/>
                <w:b/>
                <w:sz w:val="20"/>
                <w:szCs w:val="20"/>
              </w:rPr>
              <w:t>4-10</w:t>
            </w:r>
            <w:r w:rsidRPr="00CE799B">
              <w:rPr>
                <w:rFonts w:ascii="Arial" w:hAnsi="Arial" w:cs="Arial"/>
                <w:sz w:val="20"/>
                <w:szCs w:val="20"/>
              </w:rPr>
              <w:t xml:space="preserve"> </w:t>
            </w:r>
            <w:r w:rsidRPr="00CE799B">
              <w:rPr>
                <w:rFonts w:ascii="Arial" w:hAnsi="Arial" w:cs="Arial"/>
                <w:b/>
                <w:color w:val="FF0000"/>
                <w:sz w:val="20"/>
                <w:szCs w:val="20"/>
              </w:rPr>
              <w:t>(-80%)</w:t>
            </w:r>
          </w:p>
        </w:tc>
      </w:tr>
      <w:tr w:rsidR="001C6B79" w:rsidRPr="00CE799B" w:rsidTr="001C6B79">
        <w:tc>
          <w:tcPr>
            <w:tcW w:w="2461" w:type="dxa"/>
          </w:tcPr>
          <w:p w:rsidR="001C6B79" w:rsidRPr="001C6B79" w:rsidRDefault="001C6B79" w:rsidP="001C6B79">
            <w:pPr>
              <w:spacing w:before="180" w:after="100" w:afterAutospacing="1"/>
              <w:ind w:left="458"/>
              <w:rPr>
                <w:rFonts w:ascii="Arial" w:eastAsia="Times New Roman" w:hAnsi="Arial" w:cs="Arial"/>
                <w:color w:val="1E2124"/>
                <w:sz w:val="20"/>
                <w:szCs w:val="20"/>
              </w:rPr>
            </w:pPr>
            <w:r w:rsidRPr="001C6B79">
              <w:rPr>
                <w:rFonts w:ascii="Arial" w:hAnsi="Arial" w:cs="Arial"/>
                <w:sz w:val="20"/>
                <w:szCs w:val="20"/>
              </w:rPr>
              <w:t>50.00 to 100.00</w:t>
            </w:r>
          </w:p>
        </w:tc>
        <w:tc>
          <w:tcPr>
            <w:tcW w:w="2814" w:type="dxa"/>
            <w:gridSpan w:val="2"/>
          </w:tcPr>
          <w:p w:rsidR="001C6B79" w:rsidRPr="001C6B79" w:rsidRDefault="001C6B79" w:rsidP="001C6B79">
            <w:pPr>
              <w:spacing w:before="180" w:after="100" w:afterAutospacing="1"/>
              <w:jc w:val="center"/>
              <w:rPr>
                <w:rFonts w:ascii="Arial" w:eastAsia="Times New Roman" w:hAnsi="Arial" w:cs="Arial"/>
                <w:color w:val="1E2124"/>
                <w:sz w:val="20"/>
                <w:szCs w:val="20"/>
              </w:rPr>
            </w:pPr>
            <w:r w:rsidRPr="001C6B79">
              <w:rPr>
                <w:rFonts w:ascii="Arial" w:hAnsi="Arial" w:cs="Arial"/>
                <w:sz w:val="20"/>
                <w:szCs w:val="20"/>
              </w:rPr>
              <w:t>0.050</w:t>
            </w:r>
          </w:p>
        </w:tc>
        <w:tc>
          <w:tcPr>
            <w:tcW w:w="4047" w:type="dxa"/>
            <w:gridSpan w:val="3"/>
          </w:tcPr>
          <w:p w:rsidR="001C6B79" w:rsidRPr="001C6B79" w:rsidRDefault="001C6B79" w:rsidP="001C6B79">
            <w:pPr>
              <w:spacing w:before="180" w:after="100" w:afterAutospacing="1"/>
              <w:jc w:val="center"/>
              <w:rPr>
                <w:rFonts w:ascii="Arial" w:eastAsia="Times New Roman" w:hAnsi="Arial" w:cs="Arial"/>
                <w:color w:val="1E2124"/>
                <w:sz w:val="20"/>
                <w:szCs w:val="20"/>
              </w:rPr>
            </w:pPr>
            <w:r w:rsidRPr="001C6B79">
              <w:rPr>
                <w:rFonts w:ascii="Arial" w:hAnsi="Arial" w:cs="Arial"/>
                <w:sz w:val="20"/>
                <w:szCs w:val="20"/>
              </w:rPr>
              <w:t>5-10</w:t>
            </w:r>
          </w:p>
        </w:tc>
      </w:tr>
      <w:tr w:rsidR="001C6B79" w:rsidRPr="00B901F8" w:rsidTr="001C6B79">
        <w:tc>
          <w:tcPr>
            <w:tcW w:w="2461" w:type="dxa"/>
          </w:tcPr>
          <w:p w:rsidR="001C6B79" w:rsidRPr="00B901F8" w:rsidRDefault="001C6B79" w:rsidP="001C6B79">
            <w:pPr>
              <w:spacing w:before="180" w:after="100" w:afterAutospacing="1"/>
              <w:jc w:val="center"/>
              <w:rPr>
                <w:rFonts w:ascii="Arial" w:eastAsia="Times New Roman" w:hAnsi="Arial" w:cs="Arial"/>
                <w:color w:val="1E2124"/>
                <w:sz w:val="20"/>
                <w:szCs w:val="20"/>
              </w:rPr>
            </w:pPr>
            <w:r w:rsidRPr="00B901F8">
              <w:rPr>
                <w:rFonts w:ascii="Arial" w:hAnsi="Arial" w:cs="Arial"/>
                <w:sz w:val="20"/>
                <w:szCs w:val="20"/>
              </w:rPr>
              <w:t>Over 100.00 to 200.00</w:t>
            </w:r>
          </w:p>
        </w:tc>
        <w:tc>
          <w:tcPr>
            <w:tcW w:w="2814" w:type="dxa"/>
            <w:gridSpan w:val="2"/>
          </w:tcPr>
          <w:p w:rsidR="001C6B79" w:rsidRPr="00B901F8" w:rsidRDefault="001C6B79" w:rsidP="001C6B79">
            <w:pPr>
              <w:spacing w:before="180" w:after="100" w:afterAutospacing="1"/>
              <w:jc w:val="center"/>
              <w:rPr>
                <w:rFonts w:ascii="Arial" w:eastAsia="Times New Roman" w:hAnsi="Arial" w:cs="Arial"/>
                <w:color w:val="1E2124"/>
                <w:sz w:val="20"/>
                <w:szCs w:val="20"/>
              </w:rPr>
            </w:pPr>
            <w:r w:rsidRPr="00B901F8">
              <w:rPr>
                <w:rFonts w:ascii="Arial" w:hAnsi="Arial" w:cs="Arial"/>
                <w:sz w:val="20"/>
                <w:szCs w:val="20"/>
              </w:rPr>
              <w:t>0.100</w:t>
            </w:r>
          </w:p>
        </w:tc>
        <w:tc>
          <w:tcPr>
            <w:tcW w:w="4047" w:type="dxa"/>
            <w:gridSpan w:val="3"/>
          </w:tcPr>
          <w:p w:rsidR="001C6B79" w:rsidRPr="00B901F8" w:rsidRDefault="001C6B79" w:rsidP="001C6B79">
            <w:pPr>
              <w:spacing w:before="180" w:after="100" w:afterAutospacing="1"/>
              <w:jc w:val="center"/>
              <w:rPr>
                <w:rFonts w:ascii="Arial" w:eastAsia="Times New Roman" w:hAnsi="Arial" w:cs="Arial"/>
                <w:color w:val="1E2124"/>
                <w:sz w:val="20"/>
                <w:szCs w:val="20"/>
              </w:rPr>
            </w:pPr>
            <w:r w:rsidRPr="00B901F8">
              <w:rPr>
                <w:rFonts w:ascii="Arial" w:hAnsi="Arial" w:cs="Arial"/>
                <w:sz w:val="20"/>
                <w:szCs w:val="20"/>
              </w:rPr>
              <w:t>5-10</w:t>
            </w:r>
          </w:p>
        </w:tc>
      </w:tr>
      <w:tr w:rsidR="001C6B79" w:rsidRPr="00B901F8" w:rsidTr="001C6B79">
        <w:tc>
          <w:tcPr>
            <w:tcW w:w="2461" w:type="dxa"/>
          </w:tcPr>
          <w:p w:rsidR="001C6B79" w:rsidRPr="00B901F8" w:rsidRDefault="001C6B79" w:rsidP="001C6B79">
            <w:pPr>
              <w:spacing w:before="180" w:after="100" w:afterAutospacing="1"/>
              <w:jc w:val="center"/>
              <w:rPr>
                <w:rFonts w:ascii="Arial" w:eastAsia="Times New Roman" w:hAnsi="Arial" w:cs="Arial"/>
                <w:color w:val="1E2124"/>
                <w:sz w:val="20"/>
                <w:szCs w:val="20"/>
              </w:rPr>
            </w:pPr>
            <w:r w:rsidRPr="00B901F8">
              <w:rPr>
                <w:rFonts w:ascii="Arial" w:hAnsi="Arial" w:cs="Arial"/>
                <w:sz w:val="20"/>
                <w:szCs w:val="20"/>
              </w:rPr>
              <w:lastRenderedPageBreak/>
              <w:t>Over 200.00 to 500.00</w:t>
            </w:r>
          </w:p>
        </w:tc>
        <w:tc>
          <w:tcPr>
            <w:tcW w:w="2814" w:type="dxa"/>
            <w:gridSpan w:val="2"/>
          </w:tcPr>
          <w:p w:rsidR="001C6B79" w:rsidRPr="00B901F8" w:rsidRDefault="001C6B79" w:rsidP="001C6B79">
            <w:pPr>
              <w:spacing w:before="180" w:after="100" w:afterAutospacing="1"/>
              <w:jc w:val="center"/>
              <w:rPr>
                <w:rFonts w:ascii="Arial" w:eastAsia="Times New Roman" w:hAnsi="Arial" w:cs="Arial"/>
                <w:color w:val="1E2124"/>
                <w:sz w:val="20"/>
                <w:szCs w:val="20"/>
              </w:rPr>
            </w:pPr>
            <w:r w:rsidRPr="00B901F8">
              <w:rPr>
                <w:rFonts w:ascii="Arial" w:hAnsi="Arial" w:cs="Arial"/>
                <w:sz w:val="20"/>
                <w:szCs w:val="20"/>
              </w:rPr>
              <w:t>0.200</w:t>
            </w:r>
          </w:p>
        </w:tc>
        <w:tc>
          <w:tcPr>
            <w:tcW w:w="4047" w:type="dxa"/>
            <w:gridSpan w:val="3"/>
          </w:tcPr>
          <w:p w:rsidR="001C6B79" w:rsidRPr="00B901F8" w:rsidRDefault="001C6B79" w:rsidP="001C6B79">
            <w:pPr>
              <w:spacing w:before="180" w:after="100" w:afterAutospacing="1"/>
              <w:jc w:val="center"/>
              <w:rPr>
                <w:rFonts w:ascii="Arial" w:eastAsia="Times New Roman" w:hAnsi="Arial" w:cs="Arial"/>
                <w:color w:val="1E2124"/>
                <w:sz w:val="20"/>
                <w:szCs w:val="20"/>
              </w:rPr>
            </w:pPr>
            <w:r w:rsidRPr="00B901F8">
              <w:rPr>
                <w:rFonts w:ascii="Arial" w:hAnsi="Arial" w:cs="Arial"/>
                <w:sz w:val="20"/>
                <w:szCs w:val="20"/>
              </w:rPr>
              <w:t>4-10</w:t>
            </w:r>
          </w:p>
        </w:tc>
      </w:tr>
      <w:tr w:rsidR="001C6B79" w:rsidRPr="00B901F8" w:rsidTr="001C6B79">
        <w:tc>
          <w:tcPr>
            <w:tcW w:w="2461" w:type="dxa"/>
          </w:tcPr>
          <w:p w:rsidR="001C6B79" w:rsidRPr="00B901F8" w:rsidRDefault="001C6B79" w:rsidP="001C6B79">
            <w:pPr>
              <w:spacing w:before="180" w:after="100" w:afterAutospacing="1"/>
              <w:jc w:val="center"/>
              <w:rPr>
                <w:rFonts w:ascii="Arial" w:eastAsia="Times New Roman" w:hAnsi="Arial" w:cs="Arial"/>
                <w:color w:val="1E2124"/>
                <w:sz w:val="20"/>
                <w:szCs w:val="20"/>
              </w:rPr>
            </w:pPr>
            <w:r w:rsidRPr="00B901F8">
              <w:rPr>
                <w:rFonts w:ascii="Arial" w:hAnsi="Arial" w:cs="Arial"/>
                <w:sz w:val="20"/>
                <w:szCs w:val="20"/>
              </w:rPr>
              <w:t>Over 500.00 to 1,000.00</w:t>
            </w:r>
          </w:p>
        </w:tc>
        <w:tc>
          <w:tcPr>
            <w:tcW w:w="2814" w:type="dxa"/>
            <w:gridSpan w:val="2"/>
          </w:tcPr>
          <w:p w:rsidR="001C6B79" w:rsidRPr="00B901F8" w:rsidRDefault="001C6B79" w:rsidP="001C6B79">
            <w:pPr>
              <w:spacing w:before="180" w:after="100" w:afterAutospacing="1"/>
              <w:jc w:val="center"/>
              <w:rPr>
                <w:rFonts w:ascii="Arial" w:eastAsia="Times New Roman" w:hAnsi="Arial" w:cs="Arial"/>
                <w:color w:val="1E2124"/>
                <w:sz w:val="20"/>
                <w:szCs w:val="20"/>
              </w:rPr>
            </w:pPr>
            <w:r w:rsidRPr="00B901F8">
              <w:rPr>
                <w:rFonts w:ascii="Arial" w:hAnsi="Arial" w:cs="Arial"/>
                <w:sz w:val="20"/>
                <w:szCs w:val="20"/>
              </w:rPr>
              <w:t>0.500</w:t>
            </w:r>
          </w:p>
        </w:tc>
        <w:tc>
          <w:tcPr>
            <w:tcW w:w="4047" w:type="dxa"/>
            <w:gridSpan w:val="3"/>
          </w:tcPr>
          <w:p w:rsidR="001C6B79" w:rsidRPr="00B901F8" w:rsidRDefault="001C6B79" w:rsidP="001C6B79">
            <w:pPr>
              <w:spacing w:before="180" w:after="100" w:afterAutospacing="1"/>
              <w:jc w:val="center"/>
              <w:rPr>
                <w:rFonts w:ascii="Arial" w:eastAsia="Times New Roman" w:hAnsi="Arial" w:cs="Arial"/>
                <w:color w:val="1E2124"/>
                <w:sz w:val="20"/>
                <w:szCs w:val="20"/>
              </w:rPr>
            </w:pPr>
            <w:r w:rsidRPr="00B901F8">
              <w:rPr>
                <w:rFonts w:ascii="Arial" w:hAnsi="Arial" w:cs="Arial"/>
                <w:sz w:val="20"/>
                <w:szCs w:val="20"/>
              </w:rPr>
              <w:t>5-10</w:t>
            </w:r>
          </w:p>
        </w:tc>
      </w:tr>
      <w:tr w:rsidR="001C6B79" w:rsidRPr="00B901F8" w:rsidTr="001C6B79">
        <w:tc>
          <w:tcPr>
            <w:tcW w:w="2461" w:type="dxa"/>
          </w:tcPr>
          <w:p w:rsidR="001C6B79" w:rsidRPr="00B901F8" w:rsidRDefault="001C6B79" w:rsidP="001C6B79">
            <w:pPr>
              <w:spacing w:before="180" w:after="100" w:afterAutospacing="1"/>
              <w:jc w:val="center"/>
              <w:rPr>
                <w:rFonts w:ascii="Arial" w:eastAsia="Times New Roman" w:hAnsi="Arial" w:cs="Arial"/>
                <w:color w:val="1E2124"/>
                <w:sz w:val="20"/>
                <w:szCs w:val="20"/>
              </w:rPr>
            </w:pPr>
            <w:r w:rsidRPr="00B901F8">
              <w:rPr>
                <w:rFonts w:ascii="Arial" w:hAnsi="Arial" w:cs="Arial"/>
                <w:sz w:val="20"/>
                <w:szCs w:val="20"/>
              </w:rPr>
              <w:t>Over 1,000.00 to 2,000.00</w:t>
            </w:r>
          </w:p>
        </w:tc>
        <w:tc>
          <w:tcPr>
            <w:tcW w:w="2814" w:type="dxa"/>
            <w:gridSpan w:val="2"/>
          </w:tcPr>
          <w:p w:rsidR="001C6B79" w:rsidRPr="00B901F8" w:rsidRDefault="001C6B79" w:rsidP="001C6B79">
            <w:pPr>
              <w:spacing w:before="180" w:after="100" w:afterAutospacing="1"/>
              <w:jc w:val="center"/>
              <w:rPr>
                <w:rFonts w:ascii="Arial" w:eastAsia="Times New Roman" w:hAnsi="Arial" w:cs="Arial"/>
                <w:color w:val="1E2124"/>
                <w:sz w:val="20"/>
                <w:szCs w:val="20"/>
              </w:rPr>
            </w:pPr>
            <w:r w:rsidRPr="00B901F8">
              <w:rPr>
                <w:rFonts w:ascii="Arial" w:hAnsi="Arial" w:cs="Arial"/>
                <w:sz w:val="20"/>
                <w:szCs w:val="20"/>
              </w:rPr>
              <w:t>1.000</w:t>
            </w:r>
          </w:p>
        </w:tc>
        <w:tc>
          <w:tcPr>
            <w:tcW w:w="4047" w:type="dxa"/>
            <w:gridSpan w:val="3"/>
          </w:tcPr>
          <w:p w:rsidR="001C6B79" w:rsidRPr="00B901F8" w:rsidRDefault="001C6B79" w:rsidP="001C6B79">
            <w:pPr>
              <w:spacing w:before="180" w:after="100" w:afterAutospacing="1"/>
              <w:jc w:val="center"/>
              <w:rPr>
                <w:rFonts w:ascii="Arial" w:eastAsia="Times New Roman" w:hAnsi="Arial" w:cs="Arial"/>
                <w:color w:val="1E2124"/>
                <w:sz w:val="20"/>
                <w:szCs w:val="20"/>
              </w:rPr>
            </w:pPr>
            <w:r w:rsidRPr="00B901F8">
              <w:rPr>
                <w:rFonts w:ascii="Arial" w:hAnsi="Arial" w:cs="Arial"/>
                <w:sz w:val="20"/>
                <w:szCs w:val="20"/>
              </w:rPr>
              <w:t>5-10</w:t>
            </w:r>
          </w:p>
        </w:tc>
      </w:tr>
      <w:tr w:rsidR="001C6B79" w:rsidRPr="00B901F8" w:rsidTr="001C6B79">
        <w:tc>
          <w:tcPr>
            <w:tcW w:w="2461" w:type="dxa"/>
          </w:tcPr>
          <w:p w:rsidR="001C6B79" w:rsidRPr="00B901F8" w:rsidRDefault="001C6B79" w:rsidP="001C6B79">
            <w:pPr>
              <w:spacing w:before="180" w:after="100" w:afterAutospacing="1"/>
              <w:jc w:val="center"/>
              <w:rPr>
                <w:rFonts w:ascii="Arial" w:eastAsia="Times New Roman" w:hAnsi="Arial" w:cs="Arial"/>
                <w:color w:val="1E2124"/>
                <w:sz w:val="20"/>
                <w:szCs w:val="20"/>
              </w:rPr>
            </w:pPr>
            <w:r w:rsidRPr="00B901F8">
              <w:rPr>
                <w:rFonts w:ascii="Arial" w:hAnsi="Arial" w:cs="Arial"/>
                <w:sz w:val="20"/>
                <w:szCs w:val="20"/>
              </w:rPr>
              <w:t>Over 2,000.00 to 5,000.00</w:t>
            </w:r>
          </w:p>
        </w:tc>
        <w:tc>
          <w:tcPr>
            <w:tcW w:w="2814" w:type="dxa"/>
            <w:gridSpan w:val="2"/>
          </w:tcPr>
          <w:p w:rsidR="001C6B79" w:rsidRPr="00B901F8" w:rsidRDefault="001C6B79" w:rsidP="001C6B79">
            <w:pPr>
              <w:spacing w:before="180" w:after="100" w:afterAutospacing="1"/>
              <w:jc w:val="center"/>
              <w:rPr>
                <w:rFonts w:ascii="Arial" w:eastAsia="Times New Roman" w:hAnsi="Arial" w:cs="Arial"/>
                <w:color w:val="1E2124"/>
                <w:sz w:val="20"/>
                <w:szCs w:val="20"/>
              </w:rPr>
            </w:pPr>
            <w:r w:rsidRPr="00B901F8">
              <w:rPr>
                <w:rFonts w:ascii="Arial" w:hAnsi="Arial" w:cs="Arial"/>
                <w:sz w:val="20"/>
                <w:szCs w:val="20"/>
              </w:rPr>
              <w:t>2.000</w:t>
            </w:r>
          </w:p>
        </w:tc>
        <w:tc>
          <w:tcPr>
            <w:tcW w:w="4047" w:type="dxa"/>
            <w:gridSpan w:val="3"/>
          </w:tcPr>
          <w:p w:rsidR="001C6B79" w:rsidRPr="00B901F8" w:rsidRDefault="001C6B79" w:rsidP="001C6B79">
            <w:pPr>
              <w:spacing w:before="180" w:after="100" w:afterAutospacing="1"/>
              <w:jc w:val="center"/>
              <w:rPr>
                <w:rFonts w:ascii="Arial" w:eastAsia="Times New Roman" w:hAnsi="Arial" w:cs="Arial"/>
                <w:color w:val="1E2124"/>
                <w:sz w:val="20"/>
                <w:szCs w:val="20"/>
              </w:rPr>
            </w:pPr>
            <w:r w:rsidRPr="00B901F8">
              <w:rPr>
                <w:rFonts w:ascii="Arial" w:hAnsi="Arial" w:cs="Arial"/>
                <w:sz w:val="20"/>
                <w:szCs w:val="20"/>
              </w:rPr>
              <w:t>4-10</w:t>
            </w:r>
          </w:p>
        </w:tc>
      </w:tr>
      <w:tr w:rsidR="001C6B79" w:rsidRPr="00B901F8" w:rsidTr="001C6B79">
        <w:tc>
          <w:tcPr>
            <w:tcW w:w="2461" w:type="dxa"/>
          </w:tcPr>
          <w:p w:rsidR="001C6B79" w:rsidRPr="00B901F8" w:rsidRDefault="001C6B79" w:rsidP="001C6B79">
            <w:pPr>
              <w:spacing w:before="180" w:after="100" w:afterAutospacing="1"/>
              <w:jc w:val="center"/>
              <w:rPr>
                <w:rFonts w:ascii="Arial" w:eastAsia="Times New Roman" w:hAnsi="Arial" w:cs="Arial"/>
                <w:color w:val="1E2124"/>
                <w:sz w:val="20"/>
                <w:szCs w:val="20"/>
              </w:rPr>
            </w:pPr>
            <w:r w:rsidRPr="00B901F8">
              <w:rPr>
                <w:rFonts w:ascii="Arial" w:hAnsi="Arial" w:cs="Arial"/>
                <w:sz w:val="20"/>
                <w:szCs w:val="20"/>
              </w:rPr>
              <w:t>Over 5,000.00 to 9,995.00</w:t>
            </w:r>
          </w:p>
        </w:tc>
        <w:tc>
          <w:tcPr>
            <w:tcW w:w="2814" w:type="dxa"/>
            <w:gridSpan w:val="2"/>
          </w:tcPr>
          <w:p w:rsidR="001C6B79" w:rsidRPr="00B901F8" w:rsidRDefault="001C6B79" w:rsidP="001C6B79">
            <w:pPr>
              <w:spacing w:before="180" w:after="100" w:afterAutospacing="1"/>
              <w:jc w:val="center"/>
              <w:rPr>
                <w:rFonts w:ascii="Arial" w:eastAsia="Times New Roman" w:hAnsi="Arial" w:cs="Arial"/>
                <w:color w:val="1E2124"/>
                <w:sz w:val="20"/>
                <w:szCs w:val="20"/>
              </w:rPr>
            </w:pPr>
            <w:r w:rsidRPr="00B901F8">
              <w:rPr>
                <w:rFonts w:ascii="Arial" w:hAnsi="Arial" w:cs="Arial"/>
                <w:sz w:val="20"/>
                <w:szCs w:val="20"/>
              </w:rPr>
              <w:t>5.000</w:t>
            </w:r>
          </w:p>
        </w:tc>
        <w:tc>
          <w:tcPr>
            <w:tcW w:w="4047" w:type="dxa"/>
            <w:gridSpan w:val="3"/>
          </w:tcPr>
          <w:p w:rsidR="001C6B79" w:rsidRPr="00B901F8" w:rsidRDefault="001C6B79" w:rsidP="001C6B79">
            <w:pPr>
              <w:spacing w:before="180" w:after="100" w:afterAutospacing="1"/>
              <w:jc w:val="center"/>
              <w:rPr>
                <w:rFonts w:ascii="Arial" w:eastAsia="Times New Roman" w:hAnsi="Arial" w:cs="Arial"/>
                <w:color w:val="1E2124"/>
                <w:sz w:val="20"/>
                <w:szCs w:val="20"/>
              </w:rPr>
            </w:pPr>
            <w:r w:rsidRPr="00B901F8">
              <w:rPr>
                <w:rFonts w:ascii="Arial" w:hAnsi="Arial" w:cs="Arial"/>
                <w:sz w:val="20"/>
                <w:szCs w:val="20"/>
              </w:rPr>
              <w:t>5-10</w:t>
            </w:r>
          </w:p>
        </w:tc>
      </w:tr>
    </w:tbl>
    <w:p w:rsidR="001C6B79" w:rsidRDefault="001C6B79">
      <w:pPr>
        <w:pStyle w:val="BodyText"/>
        <w:rPr>
          <w:b/>
        </w:rPr>
      </w:pPr>
    </w:p>
    <w:tbl>
      <w:tblPr>
        <w:tblStyle w:val="TableGrid"/>
        <w:tblpPr w:leftFromText="180" w:rightFromText="180" w:vertAnchor="text" w:horzAnchor="margin" w:tblpX="528" w:tblpY="384"/>
        <w:tblW w:w="0" w:type="auto"/>
        <w:tblLook w:val="04A0" w:firstRow="1" w:lastRow="0" w:firstColumn="1" w:lastColumn="0" w:noHBand="0" w:noVBand="1"/>
      </w:tblPr>
      <w:tblGrid>
        <w:gridCol w:w="2581"/>
        <w:gridCol w:w="1355"/>
        <w:gridCol w:w="1417"/>
        <w:gridCol w:w="1985"/>
        <w:gridCol w:w="2018"/>
      </w:tblGrid>
      <w:tr w:rsidR="001C6B79" w:rsidRPr="00DB2553" w:rsidTr="001C6B79">
        <w:tc>
          <w:tcPr>
            <w:tcW w:w="9356" w:type="dxa"/>
            <w:gridSpan w:val="5"/>
          </w:tcPr>
          <w:p w:rsidR="001C6B79" w:rsidRPr="00DB2553" w:rsidRDefault="001C6B79" w:rsidP="001C6B79">
            <w:pPr>
              <w:spacing w:before="180" w:after="100" w:afterAutospacing="1"/>
              <w:jc w:val="center"/>
              <w:rPr>
                <w:rFonts w:ascii="Arial" w:eastAsia="Times New Roman" w:hAnsi="Arial" w:cs="Arial"/>
                <w:b/>
                <w:color w:val="1E2124"/>
                <w:sz w:val="20"/>
                <w:szCs w:val="20"/>
              </w:rPr>
            </w:pPr>
            <w:r>
              <w:rPr>
                <w:rFonts w:ascii="Arial" w:eastAsia="Times New Roman" w:hAnsi="Arial" w:cs="Arial"/>
                <w:b/>
                <w:color w:val="1E2124"/>
                <w:sz w:val="20"/>
                <w:szCs w:val="20"/>
              </w:rPr>
              <w:t>PROPOSED MINIMUM SPREADS FOR PHASE 2</w:t>
            </w:r>
          </w:p>
        </w:tc>
      </w:tr>
      <w:tr w:rsidR="001C6B79" w:rsidRPr="00DB2553" w:rsidTr="001C6B79">
        <w:tc>
          <w:tcPr>
            <w:tcW w:w="2581" w:type="dxa"/>
          </w:tcPr>
          <w:p w:rsidR="001C6B79" w:rsidRPr="00DB2553" w:rsidRDefault="001C6B79" w:rsidP="001C6B79">
            <w:pPr>
              <w:spacing w:before="180" w:after="100" w:afterAutospacing="1"/>
              <w:jc w:val="center"/>
              <w:rPr>
                <w:rFonts w:ascii="Arial" w:eastAsia="Times New Roman" w:hAnsi="Arial" w:cs="Arial"/>
                <w:b/>
                <w:color w:val="1E2124"/>
                <w:sz w:val="20"/>
                <w:szCs w:val="20"/>
              </w:rPr>
            </w:pPr>
            <w:r w:rsidRPr="00DB2553">
              <w:rPr>
                <w:rFonts w:ascii="Arial" w:hAnsi="Arial" w:cs="Arial"/>
                <w:b/>
                <w:sz w:val="20"/>
                <w:szCs w:val="20"/>
              </w:rPr>
              <w:t>Price Band</w:t>
            </w:r>
            <w:r>
              <w:rPr>
                <w:rFonts w:ascii="Arial" w:hAnsi="Arial" w:cs="Arial"/>
                <w:b/>
                <w:sz w:val="20"/>
                <w:szCs w:val="20"/>
              </w:rPr>
              <w:t xml:space="preserve"> in HK$</w:t>
            </w:r>
          </w:p>
        </w:tc>
        <w:tc>
          <w:tcPr>
            <w:tcW w:w="1355" w:type="dxa"/>
          </w:tcPr>
          <w:p w:rsidR="001C6B79" w:rsidRPr="00DB2553" w:rsidRDefault="001C6B79" w:rsidP="001C6B79">
            <w:pPr>
              <w:spacing w:before="180" w:after="100" w:afterAutospacing="1"/>
              <w:jc w:val="center"/>
              <w:rPr>
                <w:rFonts w:ascii="Arial" w:eastAsia="Times New Roman" w:hAnsi="Arial" w:cs="Arial"/>
                <w:b/>
                <w:color w:val="1E2124"/>
                <w:sz w:val="20"/>
                <w:szCs w:val="20"/>
              </w:rPr>
            </w:pPr>
            <w:r w:rsidRPr="00DB2553">
              <w:rPr>
                <w:rFonts w:ascii="Arial" w:eastAsia="Times New Roman" w:hAnsi="Arial" w:cs="Arial"/>
                <w:b/>
                <w:color w:val="1E2124"/>
                <w:sz w:val="20"/>
                <w:szCs w:val="20"/>
              </w:rPr>
              <w:t>Original minimum spread</w:t>
            </w:r>
          </w:p>
        </w:tc>
        <w:tc>
          <w:tcPr>
            <w:tcW w:w="1417" w:type="dxa"/>
          </w:tcPr>
          <w:p w:rsidR="001C6B79" w:rsidRPr="00DB2553" w:rsidRDefault="001C6B79" w:rsidP="001C6B79">
            <w:pPr>
              <w:spacing w:before="180" w:after="100" w:afterAutospacing="1"/>
              <w:jc w:val="center"/>
              <w:rPr>
                <w:rFonts w:ascii="Arial" w:eastAsia="Times New Roman" w:hAnsi="Arial" w:cs="Arial"/>
                <w:b/>
                <w:color w:val="1E2124"/>
                <w:sz w:val="20"/>
                <w:szCs w:val="20"/>
              </w:rPr>
            </w:pPr>
            <w:r w:rsidRPr="00DB2553">
              <w:rPr>
                <w:rFonts w:ascii="Arial" w:eastAsia="Times New Roman" w:hAnsi="Arial" w:cs="Arial"/>
                <w:b/>
                <w:color w:val="1E2124"/>
                <w:sz w:val="20"/>
                <w:szCs w:val="20"/>
              </w:rPr>
              <w:t>Proposed minimum spread</w:t>
            </w:r>
          </w:p>
        </w:tc>
        <w:tc>
          <w:tcPr>
            <w:tcW w:w="1985" w:type="dxa"/>
          </w:tcPr>
          <w:p w:rsidR="001C6B79" w:rsidRPr="00DB2553" w:rsidRDefault="001C6B79" w:rsidP="001C6B79">
            <w:pPr>
              <w:spacing w:before="180" w:after="100" w:afterAutospacing="1"/>
              <w:jc w:val="center"/>
              <w:rPr>
                <w:rFonts w:ascii="Arial" w:eastAsia="Times New Roman" w:hAnsi="Arial" w:cs="Arial"/>
                <w:b/>
                <w:color w:val="1E2124"/>
                <w:sz w:val="20"/>
                <w:szCs w:val="20"/>
              </w:rPr>
            </w:pPr>
            <w:r w:rsidRPr="00DB2553">
              <w:rPr>
                <w:rFonts w:ascii="Arial" w:eastAsia="Times New Roman" w:hAnsi="Arial" w:cs="Arial"/>
                <w:b/>
                <w:color w:val="1E2124"/>
                <w:sz w:val="20"/>
                <w:szCs w:val="20"/>
              </w:rPr>
              <w:t>Original tick-to-price ratio (bps)</w:t>
            </w:r>
          </w:p>
        </w:tc>
        <w:tc>
          <w:tcPr>
            <w:tcW w:w="2018" w:type="dxa"/>
          </w:tcPr>
          <w:p w:rsidR="001C6B79" w:rsidRPr="00DB2553" w:rsidRDefault="001C6B79" w:rsidP="001C6B79">
            <w:pPr>
              <w:spacing w:before="180" w:after="100" w:afterAutospacing="1"/>
              <w:jc w:val="center"/>
              <w:rPr>
                <w:rFonts w:ascii="Arial" w:eastAsia="Times New Roman" w:hAnsi="Arial" w:cs="Arial"/>
                <w:b/>
                <w:color w:val="1E2124"/>
                <w:sz w:val="20"/>
                <w:szCs w:val="20"/>
              </w:rPr>
            </w:pPr>
            <w:r w:rsidRPr="00DB2553">
              <w:rPr>
                <w:rFonts w:ascii="Arial" w:eastAsia="Times New Roman" w:hAnsi="Arial" w:cs="Arial"/>
                <w:b/>
                <w:color w:val="1E2124"/>
                <w:sz w:val="20"/>
                <w:szCs w:val="20"/>
              </w:rPr>
              <w:t>Proposed tick-to-price ratio (bps)</w:t>
            </w:r>
          </w:p>
        </w:tc>
      </w:tr>
      <w:tr w:rsidR="001C6B79" w:rsidRPr="00DB2553" w:rsidTr="001C6B79">
        <w:tc>
          <w:tcPr>
            <w:tcW w:w="2581" w:type="dxa"/>
          </w:tcPr>
          <w:p w:rsidR="001C6B79" w:rsidRPr="001C6B79" w:rsidRDefault="001C6B79" w:rsidP="001C6B79">
            <w:pPr>
              <w:spacing w:before="180" w:after="100" w:afterAutospacing="1"/>
              <w:jc w:val="center"/>
              <w:rPr>
                <w:rFonts w:ascii="Arial" w:eastAsia="Times New Roman" w:hAnsi="Arial" w:cs="Arial"/>
                <w:color w:val="1E2124"/>
                <w:sz w:val="20"/>
                <w:szCs w:val="20"/>
              </w:rPr>
            </w:pPr>
            <w:r w:rsidRPr="001C6B79">
              <w:rPr>
                <w:rFonts w:ascii="Arial" w:hAnsi="Arial" w:cs="Arial"/>
                <w:sz w:val="20"/>
                <w:szCs w:val="20"/>
              </w:rPr>
              <w:t>From 0.01 to 0.25</w:t>
            </w:r>
          </w:p>
        </w:tc>
        <w:tc>
          <w:tcPr>
            <w:tcW w:w="2772" w:type="dxa"/>
            <w:gridSpan w:val="2"/>
          </w:tcPr>
          <w:p w:rsidR="001C6B79" w:rsidRPr="00DB2553" w:rsidRDefault="001C6B79" w:rsidP="001C6B79">
            <w:pPr>
              <w:spacing w:before="180" w:after="100" w:afterAutospacing="1"/>
              <w:jc w:val="center"/>
              <w:rPr>
                <w:rFonts w:ascii="Arial" w:eastAsia="Times New Roman" w:hAnsi="Arial" w:cs="Arial"/>
                <w:color w:val="1E2124"/>
                <w:sz w:val="20"/>
                <w:szCs w:val="20"/>
              </w:rPr>
            </w:pPr>
            <w:r w:rsidRPr="00DB2553">
              <w:rPr>
                <w:rFonts w:ascii="Arial" w:hAnsi="Arial" w:cs="Arial"/>
                <w:sz w:val="20"/>
                <w:szCs w:val="20"/>
              </w:rPr>
              <w:t>0.001</w:t>
            </w:r>
          </w:p>
        </w:tc>
        <w:tc>
          <w:tcPr>
            <w:tcW w:w="4003" w:type="dxa"/>
            <w:gridSpan w:val="2"/>
          </w:tcPr>
          <w:p w:rsidR="001C6B79" w:rsidRPr="00DB2553" w:rsidRDefault="001C6B79" w:rsidP="001C6B79">
            <w:pPr>
              <w:spacing w:before="180" w:after="100" w:afterAutospacing="1"/>
              <w:jc w:val="center"/>
              <w:rPr>
                <w:rFonts w:ascii="Arial" w:eastAsia="Times New Roman" w:hAnsi="Arial" w:cs="Arial"/>
                <w:color w:val="1E2124"/>
                <w:sz w:val="20"/>
                <w:szCs w:val="20"/>
              </w:rPr>
            </w:pPr>
            <w:r w:rsidRPr="00DB2553">
              <w:rPr>
                <w:rFonts w:ascii="Arial" w:hAnsi="Arial" w:cs="Arial"/>
                <w:sz w:val="20"/>
                <w:szCs w:val="20"/>
              </w:rPr>
              <w:t>40-1000</w:t>
            </w:r>
          </w:p>
        </w:tc>
      </w:tr>
      <w:tr w:rsidR="001C6B79" w:rsidRPr="00DB2553" w:rsidTr="001C6B79">
        <w:tc>
          <w:tcPr>
            <w:tcW w:w="2581" w:type="dxa"/>
          </w:tcPr>
          <w:p w:rsidR="001C6B79" w:rsidRPr="001C6B79" w:rsidRDefault="001C6B79" w:rsidP="001C6B79">
            <w:pPr>
              <w:spacing w:before="180" w:after="100" w:afterAutospacing="1"/>
              <w:jc w:val="center"/>
              <w:rPr>
                <w:rFonts w:ascii="Arial" w:eastAsia="Times New Roman" w:hAnsi="Arial" w:cs="Arial"/>
                <w:color w:val="1E2124"/>
                <w:sz w:val="20"/>
                <w:szCs w:val="20"/>
              </w:rPr>
            </w:pPr>
            <w:r w:rsidRPr="001C6B79">
              <w:rPr>
                <w:rFonts w:ascii="Arial" w:hAnsi="Arial" w:cs="Arial"/>
                <w:sz w:val="20"/>
                <w:szCs w:val="20"/>
              </w:rPr>
              <w:t>Over 0.25 to 0.50</w:t>
            </w:r>
          </w:p>
        </w:tc>
        <w:tc>
          <w:tcPr>
            <w:tcW w:w="2772" w:type="dxa"/>
            <w:gridSpan w:val="2"/>
          </w:tcPr>
          <w:p w:rsidR="001C6B79" w:rsidRPr="00DB2553" w:rsidRDefault="001C6B79" w:rsidP="001C6B79">
            <w:pPr>
              <w:spacing w:before="180" w:after="100" w:afterAutospacing="1"/>
              <w:jc w:val="center"/>
              <w:rPr>
                <w:rFonts w:ascii="Arial" w:eastAsia="Times New Roman" w:hAnsi="Arial" w:cs="Arial"/>
                <w:color w:val="1E2124"/>
                <w:sz w:val="20"/>
                <w:szCs w:val="20"/>
              </w:rPr>
            </w:pPr>
            <w:r w:rsidRPr="00DB2553">
              <w:rPr>
                <w:rFonts w:ascii="Arial" w:hAnsi="Arial" w:cs="Arial"/>
                <w:sz w:val="20"/>
                <w:szCs w:val="20"/>
              </w:rPr>
              <w:t>0.005</w:t>
            </w:r>
          </w:p>
        </w:tc>
        <w:tc>
          <w:tcPr>
            <w:tcW w:w="4003" w:type="dxa"/>
            <w:gridSpan w:val="2"/>
          </w:tcPr>
          <w:p w:rsidR="001C6B79" w:rsidRPr="00DB2553" w:rsidRDefault="001C6B79" w:rsidP="001C6B79">
            <w:pPr>
              <w:spacing w:before="180" w:after="100" w:afterAutospacing="1"/>
              <w:jc w:val="center"/>
              <w:rPr>
                <w:rFonts w:ascii="Arial" w:eastAsia="Times New Roman" w:hAnsi="Arial" w:cs="Arial"/>
                <w:color w:val="1E2124"/>
                <w:sz w:val="20"/>
                <w:szCs w:val="20"/>
              </w:rPr>
            </w:pPr>
            <w:r w:rsidRPr="00DB2553">
              <w:rPr>
                <w:rFonts w:ascii="Arial" w:hAnsi="Arial" w:cs="Arial"/>
                <w:sz w:val="20"/>
                <w:szCs w:val="20"/>
              </w:rPr>
              <w:t>100-200</w:t>
            </w:r>
          </w:p>
        </w:tc>
      </w:tr>
      <w:tr w:rsidR="001C6B79" w:rsidRPr="00C21F41" w:rsidTr="004F7635">
        <w:trPr>
          <w:trHeight w:val="108"/>
        </w:trPr>
        <w:tc>
          <w:tcPr>
            <w:tcW w:w="2581" w:type="dxa"/>
          </w:tcPr>
          <w:p w:rsidR="001C6B79" w:rsidRPr="001C6B79" w:rsidRDefault="001C6B79" w:rsidP="001C6B79">
            <w:pPr>
              <w:tabs>
                <w:tab w:val="left" w:pos="458"/>
              </w:tabs>
              <w:spacing w:before="180" w:after="100" w:afterAutospacing="1"/>
              <w:jc w:val="center"/>
              <w:rPr>
                <w:rFonts w:ascii="Arial" w:eastAsia="Times New Roman" w:hAnsi="Arial" w:cs="Arial"/>
                <w:b/>
                <w:color w:val="1E2124"/>
                <w:sz w:val="20"/>
                <w:szCs w:val="20"/>
              </w:rPr>
            </w:pPr>
            <w:r w:rsidRPr="001C6B79">
              <w:rPr>
                <w:rFonts w:ascii="Arial" w:hAnsi="Arial" w:cs="Arial"/>
                <w:b/>
                <w:sz w:val="20"/>
                <w:szCs w:val="20"/>
              </w:rPr>
              <w:t>Over 0.50 to 10.00</w:t>
            </w:r>
          </w:p>
        </w:tc>
        <w:tc>
          <w:tcPr>
            <w:tcW w:w="1355" w:type="dxa"/>
          </w:tcPr>
          <w:p w:rsidR="001C6B79" w:rsidRPr="00140473" w:rsidRDefault="001C6B79" w:rsidP="001C6B79">
            <w:pPr>
              <w:spacing w:before="180" w:after="100" w:afterAutospacing="1"/>
              <w:jc w:val="center"/>
              <w:rPr>
                <w:rFonts w:ascii="Arial" w:eastAsia="Times New Roman" w:hAnsi="Arial" w:cs="Arial"/>
                <w:b/>
                <w:color w:val="1E2124"/>
                <w:sz w:val="20"/>
                <w:szCs w:val="20"/>
              </w:rPr>
            </w:pPr>
            <w:r w:rsidRPr="00140473">
              <w:rPr>
                <w:rFonts w:ascii="Arial" w:hAnsi="Arial" w:cs="Arial"/>
                <w:b/>
                <w:sz w:val="20"/>
                <w:szCs w:val="20"/>
              </w:rPr>
              <w:t>0.010</w:t>
            </w:r>
          </w:p>
        </w:tc>
        <w:tc>
          <w:tcPr>
            <w:tcW w:w="1417" w:type="dxa"/>
          </w:tcPr>
          <w:p w:rsidR="001C6B79" w:rsidRPr="00140473" w:rsidRDefault="001C6B79" w:rsidP="001C6B79">
            <w:pPr>
              <w:spacing w:before="180" w:after="100" w:afterAutospacing="1"/>
              <w:jc w:val="center"/>
              <w:rPr>
                <w:rFonts w:ascii="Arial" w:eastAsia="Times New Roman" w:hAnsi="Arial" w:cs="Arial"/>
                <w:b/>
                <w:color w:val="1E2124"/>
                <w:sz w:val="20"/>
                <w:szCs w:val="20"/>
              </w:rPr>
            </w:pPr>
            <w:r w:rsidRPr="00140473">
              <w:rPr>
                <w:rFonts w:ascii="Arial" w:hAnsi="Arial" w:cs="Arial"/>
                <w:b/>
                <w:sz w:val="20"/>
                <w:szCs w:val="20"/>
              </w:rPr>
              <w:t>0.005</w:t>
            </w:r>
          </w:p>
        </w:tc>
        <w:tc>
          <w:tcPr>
            <w:tcW w:w="1985" w:type="dxa"/>
          </w:tcPr>
          <w:p w:rsidR="001C6B79" w:rsidRPr="00140473" w:rsidRDefault="001C6B79" w:rsidP="001C6B79">
            <w:pPr>
              <w:spacing w:before="180" w:after="100" w:afterAutospacing="1"/>
              <w:jc w:val="center"/>
              <w:rPr>
                <w:rFonts w:ascii="Arial" w:eastAsia="Times New Roman" w:hAnsi="Arial" w:cs="Arial"/>
                <w:b/>
                <w:color w:val="1E2124"/>
                <w:sz w:val="20"/>
                <w:szCs w:val="20"/>
              </w:rPr>
            </w:pPr>
            <w:r w:rsidRPr="00140473">
              <w:rPr>
                <w:rFonts w:ascii="Arial" w:hAnsi="Arial" w:cs="Arial"/>
                <w:b/>
                <w:sz w:val="20"/>
                <w:szCs w:val="20"/>
              </w:rPr>
              <w:t>10-200</w:t>
            </w:r>
          </w:p>
        </w:tc>
        <w:tc>
          <w:tcPr>
            <w:tcW w:w="2018" w:type="dxa"/>
          </w:tcPr>
          <w:p w:rsidR="001C6B79" w:rsidRPr="00C21F41" w:rsidRDefault="001C6B79" w:rsidP="001C6B79">
            <w:pPr>
              <w:spacing w:before="180" w:after="100" w:afterAutospacing="1"/>
              <w:jc w:val="center"/>
              <w:rPr>
                <w:rFonts w:ascii="Arial" w:eastAsia="Times New Roman" w:hAnsi="Arial" w:cs="Arial"/>
                <w:b/>
                <w:color w:val="1E2124"/>
                <w:sz w:val="20"/>
                <w:szCs w:val="20"/>
              </w:rPr>
            </w:pPr>
            <w:r>
              <w:rPr>
                <w:rFonts w:ascii="Arial" w:eastAsia="Times New Roman" w:hAnsi="Arial" w:cs="Arial"/>
                <w:b/>
                <w:color w:val="1E2124"/>
                <w:sz w:val="20"/>
                <w:szCs w:val="20"/>
              </w:rPr>
              <w:t>5-100</w:t>
            </w:r>
          </w:p>
        </w:tc>
      </w:tr>
      <w:tr w:rsidR="001C6B79" w:rsidRPr="00DB2553" w:rsidTr="001C6B79">
        <w:tc>
          <w:tcPr>
            <w:tcW w:w="2581" w:type="dxa"/>
          </w:tcPr>
          <w:p w:rsidR="001C6B79" w:rsidRPr="001C6B79" w:rsidRDefault="001C6B79" w:rsidP="001C6B79">
            <w:pPr>
              <w:spacing w:before="180" w:after="100" w:afterAutospacing="1"/>
              <w:ind w:left="458"/>
              <w:rPr>
                <w:rFonts w:ascii="Arial" w:eastAsia="Times New Roman" w:hAnsi="Arial" w:cs="Arial"/>
                <w:color w:val="1E2124"/>
                <w:sz w:val="20"/>
                <w:szCs w:val="20"/>
              </w:rPr>
            </w:pPr>
            <w:r w:rsidRPr="001C6B79">
              <w:rPr>
                <w:rFonts w:ascii="Arial" w:hAnsi="Arial" w:cs="Arial"/>
                <w:sz w:val="20"/>
                <w:szCs w:val="20"/>
              </w:rPr>
              <w:t>0.50 to 1.00</w:t>
            </w:r>
          </w:p>
        </w:tc>
        <w:tc>
          <w:tcPr>
            <w:tcW w:w="1355" w:type="dxa"/>
          </w:tcPr>
          <w:p w:rsidR="001C6B79" w:rsidRPr="001C6B79" w:rsidRDefault="001C6B79" w:rsidP="001C6B79">
            <w:pPr>
              <w:spacing w:before="180" w:after="100" w:afterAutospacing="1"/>
              <w:jc w:val="center"/>
              <w:rPr>
                <w:rFonts w:ascii="Arial" w:eastAsia="Times New Roman" w:hAnsi="Arial" w:cs="Arial"/>
                <w:color w:val="1E2124"/>
                <w:sz w:val="20"/>
                <w:szCs w:val="20"/>
              </w:rPr>
            </w:pPr>
            <w:r w:rsidRPr="001C6B79">
              <w:rPr>
                <w:rFonts w:ascii="Arial" w:hAnsi="Arial" w:cs="Arial"/>
                <w:sz w:val="20"/>
                <w:szCs w:val="20"/>
              </w:rPr>
              <w:t>0.010</w:t>
            </w:r>
          </w:p>
        </w:tc>
        <w:tc>
          <w:tcPr>
            <w:tcW w:w="1417" w:type="dxa"/>
          </w:tcPr>
          <w:p w:rsidR="001C6B79" w:rsidRPr="001C6B79" w:rsidRDefault="001C6B79" w:rsidP="001C6B79">
            <w:pPr>
              <w:spacing w:before="180" w:after="100" w:afterAutospacing="1"/>
              <w:ind w:hanging="86"/>
              <w:jc w:val="center"/>
              <w:rPr>
                <w:rFonts w:ascii="Arial" w:eastAsia="Times New Roman" w:hAnsi="Arial" w:cs="Arial"/>
                <w:color w:val="1E2124"/>
                <w:sz w:val="20"/>
                <w:szCs w:val="20"/>
              </w:rPr>
            </w:pPr>
            <w:r w:rsidRPr="001C6B79">
              <w:rPr>
                <w:rFonts w:ascii="Arial" w:hAnsi="Arial" w:cs="Arial"/>
                <w:sz w:val="20"/>
                <w:szCs w:val="20"/>
              </w:rPr>
              <w:t>0.005</w:t>
            </w:r>
            <w:r>
              <w:rPr>
                <w:rFonts w:ascii="Arial" w:hAnsi="Arial" w:cs="Arial"/>
                <w:sz w:val="20"/>
                <w:szCs w:val="20"/>
              </w:rPr>
              <w:t xml:space="preserve"> </w:t>
            </w:r>
            <w:r w:rsidRPr="001C6B79">
              <w:rPr>
                <w:rFonts w:ascii="Arial" w:hAnsi="Arial" w:cs="Arial"/>
                <w:b/>
                <w:color w:val="FF0000"/>
                <w:sz w:val="20"/>
                <w:szCs w:val="20"/>
              </w:rPr>
              <w:t>(-50%)</w:t>
            </w:r>
          </w:p>
        </w:tc>
        <w:tc>
          <w:tcPr>
            <w:tcW w:w="4003" w:type="dxa"/>
            <w:gridSpan w:val="2"/>
          </w:tcPr>
          <w:p w:rsidR="001C6B79" w:rsidRPr="001C6B79" w:rsidRDefault="001C6B79" w:rsidP="001C6B79">
            <w:pPr>
              <w:spacing w:before="180" w:after="100" w:afterAutospacing="1"/>
              <w:jc w:val="center"/>
              <w:rPr>
                <w:rFonts w:ascii="Arial" w:eastAsia="Times New Roman" w:hAnsi="Arial" w:cs="Arial"/>
                <w:color w:val="1E2124"/>
                <w:sz w:val="20"/>
                <w:szCs w:val="20"/>
              </w:rPr>
            </w:pPr>
            <w:r w:rsidRPr="001C6B79">
              <w:rPr>
                <w:rFonts w:ascii="Arial" w:hAnsi="Arial" w:cs="Arial"/>
                <w:sz w:val="20"/>
                <w:szCs w:val="20"/>
              </w:rPr>
              <w:t xml:space="preserve">50-100 </w:t>
            </w:r>
            <w:r w:rsidRPr="001C6B79">
              <w:rPr>
                <w:rFonts w:ascii="Arial" w:hAnsi="Arial" w:cs="Arial"/>
                <w:b/>
                <w:color w:val="FF0000"/>
                <w:sz w:val="20"/>
                <w:szCs w:val="20"/>
              </w:rPr>
              <w:t>(-50%)</w:t>
            </w:r>
          </w:p>
        </w:tc>
      </w:tr>
      <w:tr w:rsidR="001C6B79" w:rsidRPr="00DB2553" w:rsidTr="004F7635">
        <w:trPr>
          <w:trHeight w:val="261"/>
        </w:trPr>
        <w:tc>
          <w:tcPr>
            <w:tcW w:w="2581" w:type="dxa"/>
          </w:tcPr>
          <w:p w:rsidR="001C6B79" w:rsidRPr="001C6B79" w:rsidRDefault="001C6B79" w:rsidP="001C6B79">
            <w:pPr>
              <w:spacing w:before="180" w:after="100" w:afterAutospacing="1"/>
              <w:ind w:left="458"/>
              <w:rPr>
                <w:rFonts w:ascii="Arial" w:hAnsi="Arial" w:cs="Arial"/>
                <w:sz w:val="20"/>
                <w:szCs w:val="20"/>
              </w:rPr>
            </w:pPr>
            <w:r w:rsidRPr="001C6B79">
              <w:rPr>
                <w:rFonts w:ascii="Arial" w:hAnsi="Arial" w:cs="Arial"/>
                <w:sz w:val="20"/>
                <w:szCs w:val="20"/>
              </w:rPr>
              <w:t>1.00 to 2.00</w:t>
            </w:r>
          </w:p>
        </w:tc>
        <w:tc>
          <w:tcPr>
            <w:tcW w:w="1355" w:type="dxa"/>
          </w:tcPr>
          <w:p w:rsidR="001C6B79" w:rsidRPr="001C6B79" w:rsidRDefault="001C6B79" w:rsidP="001C6B79">
            <w:pPr>
              <w:spacing w:before="180" w:after="100" w:afterAutospacing="1"/>
              <w:jc w:val="center"/>
              <w:rPr>
                <w:rFonts w:ascii="Arial" w:eastAsia="Times New Roman" w:hAnsi="Arial" w:cs="Arial"/>
                <w:color w:val="1E2124"/>
                <w:sz w:val="20"/>
                <w:szCs w:val="20"/>
              </w:rPr>
            </w:pPr>
            <w:r w:rsidRPr="001C6B79">
              <w:rPr>
                <w:rFonts w:ascii="Arial" w:hAnsi="Arial" w:cs="Arial"/>
                <w:sz w:val="20"/>
                <w:szCs w:val="20"/>
              </w:rPr>
              <w:t>0.010</w:t>
            </w:r>
          </w:p>
        </w:tc>
        <w:tc>
          <w:tcPr>
            <w:tcW w:w="1417" w:type="dxa"/>
          </w:tcPr>
          <w:p w:rsidR="001C6B79" w:rsidRPr="001C6B79" w:rsidRDefault="001C6B79" w:rsidP="001C6B79">
            <w:pPr>
              <w:spacing w:before="180" w:after="100" w:afterAutospacing="1"/>
              <w:ind w:hanging="86"/>
              <w:jc w:val="center"/>
              <w:rPr>
                <w:rFonts w:ascii="Arial" w:eastAsia="Times New Roman" w:hAnsi="Arial" w:cs="Arial"/>
                <w:color w:val="1E2124"/>
                <w:sz w:val="20"/>
                <w:szCs w:val="20"/>
              </w:rPr>
            </w:pPr>
            <w:r w:rsidRPr="001C6B79">
              <w:rPr>
                <w:rFonts w:ascii="Arial" w:hAnsi="Arial" w:cs="Arial"/>
                <w:sz w:val="20"/>
                <w:szCs w:val="20"/>
              </w:rPr>
              <w:t>0.005</w:t>
            </w:r>
            <w:r>
              <w:rPr>
                <w:rFonts w:ascii="Arial" w:hAnsi="Arial" w:cs="Arial"/>
                <w:sz w:val="20"/>
                <w:szCs w:val="20"/>
              </w:rPr>
              <w:t xml:space="preserve"> </w:t>
            </w:r>
            <w:r w:rsidRPr="001C6B79">
              <w:rPr>
                <w:rFonts w:ascii="Arial" w:hAnsi="Arial" w:cs="Arial"/>
                <w:b/>
                <w:color w:val="FF0000"/>
                <w:sz w:val="20"/>
                <w:szCs w:val="20"/>
              </w:rPr>
              <w:t>(-50%)</w:t>
            </w:r>
          </w:p>
        </w:tc>
        <w:tc>
          <w:tcPr>
            <w:tcW w:w="4003" w:type="dxa"/>
            <w:gridSpan w:val="2"/>
          </w:tcPr>
          <w:p w:rsidR="001C6B79" w:rsidRPr="001C6B79" w:rsidRDefault="001C6B79" w:rsidP="001C6B79">
            <w:pPr>
              <w:spacing w:before="180" w:after="100" w:afterAutospacing="1"/>
              <w:jc w:val="center"/>
              <w:rPr>
                <w:rFonts w:ascii="Arial" w:eastAsia="Times New Roman" w:hAnsi="Arial" w:cs="Arial"/>
                <w:color w:val="1E2124"/>
                <w:sz w:val="20"/>
                <w:szCs w:val="20"/>
              </w:rPr>
            </w:pPr>
            <w:r w:rsidRPr="001C6B79">
              <w:rPr>
                <w:rFonts w:ascii="Arial" w:hAnsi="Arial" w:cs="Arial"/>
                <w:sz w:val="20"/>
                <w:szCs w:val="20"/>
              </w:rPr>
              <w:t xml:space="preserve">25-100 </w:t>
            </w:r>
            <w:r w:rsidRPr="001C6B79">
              <w:rPr>
                <w:rFonts w:ascii="Arial" w:hAnsi="Arial" w:cs="Arial"/>
                <w:b/>
                <w:color w:val="FF0000"/>
                <w:sz w:val="20"/>
                <w:szCs w:val="20"/>
              </w:rPr>
              <w:t>(-50%)</w:t>
            </w:r>
          </w:p>
        </w:tc>
      </w:tr>
      <w:tr w:rsidR="001C6B79" w:rsidRPr="00DB2553" w:rsidTr="004F7635">
        <w:trPr>
          <w:trHeight w:val="125"/>
        </w:trPr>
        <w:tc>
          <w:tcPr>
            <w:tcW w:w="2581" w:type="dxa"/>
          </w:tcPr>
          <w:p w:rsidR="001C6B79" w:rsidRPr="001C6B79" w:rsidRDefault="001C6B79" w:rsidP="001C6B79">
            <w:pPr>
              <w:spacing w:before="180" w:after="100" w:afterAutospacing="1"/>
              <w:ind w:left="458"/>
              <w:rPr>
                <w:rFonts w:ascii="Arial" w:hAnsi="Arial" w:cs="Arial"/>
                <w:sz w:val="20"/>
                <w:szCs w:val="20"/>
              </w:rPr>
            </w:pPr>
            <w:r w:rsidRPr="001C6B79">
              <w:rPr>
                <w:rFonts w:ascii="Arial" w:hAnsi="Arial" w:cs="Arial"/>
                <w:sz w:val="20"/>
                <w:szCs w:val="20"/>
              </w:rPr>
              <w:t>2.00 to 5.00</w:t>
            </w:r>
          </w:p>
        </w:tc>
        <w:tc>
          <w:tcPr>
            <w:tcW w:w="1355" w:type="dxa"/>
          </w:tcPr>
          <w:p w:rsidR="001C6B79" w:rsidRPr="001C6B79" w:rsidRDefault="001C6B79" w:rsidP="001C6B79">
            <w:pPr>
              <w:spacing w:before="180" w:after="100" w:afterAutospacing="1"/>
              <w:jc w:val="center"/>
              <w:rPr>
                <w:rFonts w:ascii="Arial" w:eastAsia="Times New Roman" w:hAnsi="Arial" w:cs="Arial"/>
                <w:color w:val="1E2124"/>
                <w:sz w:val="20"/>
                <w:szCs w:val="20"/>
              </w:rPr>
            </w:pPr>
            <w:r w:rsidRPr="001C6B79">
              <w:rPr>
                <w:rFonts w:ascii="Arial" w:hAnsi="Arial" w:cs="Arial"/>
                <w:sz w:val="20"/>
                <w:szCs w:val="20"/>
              </w:rPr>
              <w:t>0.010</w:t>
            </w:r>
          </w:p>
        </w:tc>
        <w:tc>
          <w:tcPr>
            <w:tcW w:w="1417" w:type="dxa"/>
          </w:tcPr>
          <w:p w:rsidR="001C6B79" w:rsidRPr="001C6B79" w:rsidRDefault="001C6B79" w:rsidP="001C6B79">
            <w:pPr>
              <w:spacing w:before="180" w:after="100" w:afterAutospacing="1"/>
              <w:ind w:hanging="86"/>
              <w:jc w:val="center"/>
              <w:rPr>
                <w:rFonts w:ascii="Arial" w:eastAsia="Times New Roman" w:hAnsi="Arial" w:cs="Arial"/>
                <w:color w:val="1E2124"/>
                <w:sz w:val="20"/>
                <w:szCs w:val="20"/>
              </w:rPr>
            </w:pPr>
            <w:r w:rsidRPr="001C6B79">
              <w:rPr>
                <w:rFonts w:ascii="Arial" w:hAnsi="Arial" w:cs="Arial"/>
                <w:sz w:val="20"/>
                <w:szCs w:val="20"/>
              </w:rPr>
              <w:t>0.005</w:t>
            </w:r>
            <w:r>
              <w:rPr>
                <w:rFonts w:ascii="Arial" w:hAnsi="Arial" w:cs="Arial"/>
                <w:sz w:val="20"/>
                <w:szCs w:val="20"/>
              </w:rPr>
              <w:t xml:space="preserve"> </w:t>
            </w:r>
            <w:r w:rsidRPr="001C6B79">
              <w:rPr>
                <w:rFonts w:ascii="Arial" w:hAnsi="Arial" w:cs="Arial"/>
                <w:b/>
                <w:color w:val="FF0000"/>
                <w:sz w:val="20"/>
                <w:szCs w:val="20"/>
              </w:rPr>
              <w:t>(-50%)</w:t>
            </w:r>
          </w:p>
        </w:tc>
        <w:tc>
          <w:tcPr>
            <w:tcW w:w="4003" w:type="dxa"/>
            <w:gridSpan w:val="2"/>
          </w:tcPr>
          <w:p w:rsidR="001C6B79" w:rsidRPr="001C6B79" w:rsidRDefault="001C6B79" w:rsidP="001C6B79">
            <w:pPr>
              <w:spacing w:before="180" w:after="100" w:afterAutospacing="1"/>
              <w:jc w:val="center"/>
              <w:rPr>
                <w:rFonts w:ascii="Arial" w:eastAsia="Times New Roman" w:hAnsi="Arial" w:cs="Arial"/>
                <w:color w:val="1E2124"/>
                <w:sz w:val="20"/>
                <w:szCs w:val="20"/>
              </w:rPr>
            </w:pPr>
            <w:r w:rsidRPr="001C6B79">
              <w:rPr>
                <w:rFonts w:ascii="Arial" w:hAnsi="Arial" w:cs="Arial"/>
                <w:sz w:val="20"/>
                <w:szCs w:val="20"/>
              </w:rPr>
              <w:t xml:space="preserve">10-25 </w:t>
            </w:r>
            <w:r w:rsidRPr="001C6B79">
              <w:rPr>
                <w:rFonts w:ascii="Arial" w:hAnsi="Arial" w:cs="Arial"/>
                <w:b/>
                <w:color w:val="FF0000"/>
                <w:sz w:val="20"/>
                <w:szCs w:val="20"/>
              </w:rPr>
              <w:t>(-50%)</w:t>
            </w:r>
          </w:p>
        </w:tc>
      </w:tr>
      <w:tr w:rsidR="001C6B79" w:rsidRPr="00C21F41" w:rsidTr="004F7635">
        <w:trPr>
          <w:trHeight w:val="131"/>
        </w:trPr>
        <w:tc>
          <w:tcPr>
            <w:tcW w:w="2581" w:type="dxa"/>
          </w:tcPr>
          <w:p w:rsidR="001C6B79" w:rsidRPr="001C6B79" w:rsidRDefault="001C6B79" w:rsidP="001C6B79">
            <w:pPr>
              <w:spacing w:before="180" w:after="100" w:afterAutospacing="1"/>
              <w:ind w:left="458"/>
              <w:rPr>
                <w:rFonts w:ascii="Arial" w:hAnsi="Arial" w:cs="Arial"/>
                <w:sz w:val="20"/>
                <w:szCs w:val="20"/>
              </w:rPr>
            </w:pPr>
            <w:r w:rsidRPr="001C6B79">
              <w:rPr>
                <w:rFonts w:ascii="Arial" w:hAnsi="Arial" w:cs="Arial"/>
                <w:sz w:val="20"/>
                <w:szCs w:val="20"/>
              </w:rPr>
              <w:t>5.00 to 10.00</w:t>
            </w:r>
          </w:p>
        </w:tc>
        <w:tc>
          <w:tcPr>
            <w:tcW w:w="1355" w:type="dxa"/>
          </w:tcPr>
          <w:p w:rsidR="001C6B79" w:rsidRPr="001C6B79" w:rsidRDefault="001C6B79" w:rsidP="001C6B79">
            <w:pPr>
              <w:spacing w:before="180" w:after="100" w:afterAutospacing="1"/>
              <w:jc w:val="center"/>
              <w:rPr>
                <w:rFonts w:ascii="Arial" w:eastAsia="Times New Roman" w:hAnsi="Arial" w:cs="Arial"/>
                <w:color w:val="1E2124"/>
                <w:sz w:val="20"/>
                <w:szCs w:val="20"/>
              </w:rPr>
            </w:pPr>
            <w:r w:rsidRPr="001C6B79">
              <w:rPr>
                <w:rFonts w:ascii="Arial" w:hAnsi="Arial" w:cs="Arial"/>
                <w:sz w:val="20"/>
                <w:szCs w:val="20"/>
              </w:rPr>
              <w:t>0.010</w:t>
            </w:r>
          </w:p>
        </w:tc>
        <w:tc>
          <w:tcPr>
            <w:tcW w:w="1417" w:type="dxa"/>
          </w:tcPr>
          <w:p w:rsidR="001C6B79" w:rsidRPr="001C6B79" w:rsidRDefault="001C6B79" w:rsidP="001C6B79">
            <w:pPr>
              <w:spacing w:before="180" w:after="100" w:afterAutospacing="1"/>
              <w:ind w:hanging="86"/>
              <w:jc w:val="center"/>
              <w:rPr>
                <w:rFonts w:ascii="Arial" w:eastAsia="Times New Roman" w:hAnsi="Arial" w:cs="Arial"/>
                <w:color w:val="1E2124"/>
                <w:sz w:val="20"/>
                <w:szCs w:val="20"/>
              </w:rPr>
            </w:pPr>
            <w:r w:rsidRPr="001C6B79">
              <w:rPr>
                <w:rFonts w:ascii="Arial" w:hAnsi="Arial" w:cs="Arial"/>
                <w:sz w:val="20"/>
                <w:szCs w:val="20"/>
              </w:rPr>
              <w:t>0.005</w:t>
            </w:r>
            <w:r>
              <w:rPr>
                <w:rFonts w:ascii="Arial" w:hAnsi="Arial" w:cs="Arial"/>
                <w:sz w:val="20"/>
                <w:szCs w:val="20"/>
              </w:rPr>
              <w:t xml:space="preserve"> </w:t>
            </w:r>
            <w:r w:rsidRPr="001C6B79">
              <w:rPr>
                <w:rFonts w:ascii="Arial" w:hAnsi="Arial" w:cs="Arial"/>
                <w:b/>
                <w:color w:val="FF0000"/>
                <w:sz w:val="20"/>
                <w:szCs w:val="20"/>
              </w:rPr>
              <w:t>(-50%)</w:t>
            </w:r>
          </w:p>
        </w:tc>
        <w:tc>
          <w:tcPr>
            <w:tcW w:w="4003" w:type="dxa"/>
            <w:gridSpan w:val="2"/>
          </w:tcPr>
          <w:p w:rsidR="001C6B79" w:rsidRPr="001C6B79" w:rsidRDefault="001C6B79" w:rsidP="001C6B79">
            <w:pPr>
              <w:spacing w:before="180" w:after="100" w:afterAutospacing="1"/>
              <w:jc w:val="center"/>
              <w:rPr>
                <w:rFonts w:ascii="Arial" w:eastAsia="Times New Roman" w:hAnsi="Arial" w:cs="Arial"/>
                <w:color w:val="1E2124"/>
                <w:sz w:val="20"/>
                <w:szCs w:val="20"/>
              </w:rPr>
            </w:pPr>
            <w:r w:rsidRPr="001C6B79">
              <w:rPr>
                <w:rFonts w:ascii="Arial" w:hAnsi="Arial" w:cs="Arial"/>
                <w:sz w:val="20"/>
                <w:szCs w:val="20"/>
              </w:rPr>
              <w:t xml:space="preserve">10-20 </w:t>
            </w:r>
            <w:r w:rsidRPr="001C6B79">
              <w:rPr>
                <w:rFonts w:ascii="Arial" w:hAnsi="Arial" w:cs="Arial"/>
                <w:b/>
                <w:color w:val="FF0000"/>
                <w:sz w:val="20"/>
                <w:szCs w:val="20"/>
              </w:rPr>
              <w:t>(-50%)</w:t>
            </w:r>
          </w:p>
        </w:tc>
      </w:tr>
      <w:tr w:rsidR="001C6B79" w:rsidRPr="00CE799B" w:rsidTr="001C6B79">
        <w:tc>
          <w:tcPr>
            <w:tcW w:w="2581" w:type="dxa"/>
          </w:tcPr>
          <w:p w:rsidR="001C6B79" w:rsidRPr="001C6B79" w:rsidRDefault="001C6B79" w:rsidP="001C6B79">
            <w:pPr>
              <w:spacing w:before="180" w:after="100" w:afterAutospacing="1"/>
              <w:jc w:val="center"/>
              <w:rPr>
                <w:rFonts w:ascii="Arial" w:eastAsia="Times New Roman" w:hAnsi="Arial" w:cs="Arial"/>
                <w:color w:val="1E2124"/>
                <w:sz w:val="20"/>
                <w:szCs w:val="20"/>
              </w:rPr>
            </w:pPr>
            <w:r w:rsidRPr="001C6B79">
              <w:rPr>
                <w:rFonts w:ascii="Arial" w:hAnsi="Arial" w:cs="Arial"/>
                <w:sz w:val="20"/>
                <w:szCs w:val="20"/>
              </w:rPr>
              <w:t>Over 10.00 to 20.00</w:t>
            </w:r>
          </w:p>
        </w:tc>
        <w:tc>
          <w:tcPr>
            <w:tcW w:w="2772" w:type="dxa"/>
            <w:gridSpan w:val="2"/>
          </w:tcPr>
          <w:p w:rsidR="001C6B79" w:rsidRPr="00C21F41" w:rsidRDefault="001C6B79" w:rsidP="004F7635">
            <w:pPr>
              <w:spacing w:before="180" w:after="100" w:afterAutospacing="1"/>
              <w:jc w:val="center"/>
              <w:rPr>
                <w:rFonts w:ascii="Arial" w:eastAsia="Times New Roman" w:hAnsi="Arial" w:cs="Arial"/>
                <w:color w:val="1E2124"/>
                <w:sz w:val="20"/>
                <w:szCs w:val="20"/>
              </w:rPr>
            </w:pPr>
            <w:r w:rsidRPr="00C21F41">
              <w:rPr>
                <w:rFonts w:ascii="Arial" w:hAnsi="Arial" w:cs="Arial"/>
                <w:sz w:val="20"/>
                <w:szCs w:val="20"/>
              </w:rPr>
              <w:t>0.010</w:t>
            </w:r>
          </w:p>
        </w:tc>
        <w:tc>
          <w:tcPr>
            <w:tcW w:w="4003" w:type="dxa"/>
            <w:gridSpan w:val="2"/>
          </w:tcPr>
          <w:p w:rsidR="001C6B79" w:rsidRPr="00CE799B" w:rsidRDefault="001C6B79" w:rsidP="004F7635">
            <w:pPr>
              <w:spacing w:before="180" w:after="100" w:afterAutospacing="1"/>
              <w:jc w:val="center"/>
              <w:rPr>
                <w:rFonts w:ascii="Arial" w:eastAsia="Times New Roman" w:hAnsi="Arial" w:cs="Arial"/>
                <w:color w:val="1E2124"/>
                <w:sz w:val="20"/>
                <w:szCs w:val="20"/>
              </w:rPr>
            </w:pPr>
            <w:r w:rsidRPr="00B901F8">
              <w:rPr>
                <w:rFonts w:ascii="Arial" w:hAnsi="Arial" w:cs="Arial"/>
                <w:sz w:val="20"/>
                <w:szCs w:val="20"/>
              </w:rPr>
              <w:t>5-10</w:t>
            </w:r>
          </w:p>
        </w:tc>
      </w:tr>
      <w:tr w:rsidR="001C6B79" w:rsidRPr="00CE799B" w:rsidTr="001C6B79">
        <w:tc>
          <w:tcPr>
            <w:tcW w:w="2581" w:type="dxa"/>
          </w:tcPr>
          <w:p w:rsidR="001C6B79" w:rsidRPr="001C6B79" w:rsidRDefault="001C6B79" w:rsidP="001C6B79">
            <w:pPr>
              <w:spacing w:before="180" w:after="100" w:afterAutospacing="1"/>
              <w:jc w:val="center"/>
              <w:rPr>
                <w:rFonts w:ascii="Arial" w:eastAsia="Times New Roman" w:hAnsi="Arial" w:cs="Arial"/>
                <w:color w:val="1E2124"/>
                <w:sz w:val="20"/>
                <w:szCs w:val="20"/>
              </w:rPr>
            </w:pPr>
            <w:r w:rsidRPr="001C6B79">
              <w:rPr>
                <w:rFonts w:ascii="Arial" w:hAnsi="Arial" w:cs="Arial"/>
                <w:sz w:val="20"/>
                <w:szCs w:val="20"/>
              </w:rPr>
              <w:t>Over 20.00 to 50.00</w:t>
            </w:r>
          </w:p>
        </w:tc>
        <w:tc>
          <w:tcPr>
            <w:tcW w:w="2772" w:type="dxa"/>
            <w:gridSpan w:val="2"/>
          </w:tcPr>
          <w:p w:rsidR="001C6B79" w:rsidRPr="00C21F41" w:rsidRDefault="001C6B79" w:rsidP="004F7635">
            <w:pPr>
              <w:spacing w:before="180" w:after="100" w:afterAutospacing="1"/>
              <w:jc w:val="center"/>
              <w:rPr>
                <w:rFonts w:ascii="Arial" w:eastAsia="Times New Roman" w:hAnsi="Arial" w:cs="Arial"/>
                <w:color w:val="1E2124"/>
                <w:sz w:val="20"/>
                <w:szCs w:val="20"/>
              </w:rPr>
            </w:pPr>
            <w:r>
              <w:rPr>
                <w:rFonts w:ascii="Arial" w:hAnsi="Arial" w:cs="Arial"/>
                <w:sz w:val="20"/>
                <w:szCs w:val="20"/>
              </w:rPr>
              <w:t>0.02</w:t>
            </w:r>
            <w:r w:rsidRPr="00C21F41">
              <w:rPr>
                <w:rFonts w:ascii="Arial" w:hAnsi="Arial" w:cs="Arial"/>
                <w:sz w:val="20"/>
                <w:szCs w:val="20"/>
              </w:rPr>
              <w:t>0</w:t>
            </w:r>
          </w:p>
        </w:tc>
        <w:tc>
          <w:tcPr>
            <w:tcW w:w="4003" w:type="dxa"/>
            <w:gridSpan w:val="2"/>
          </w:tcPr>
          <w:p w:rsidR="001C6B79" w:rsidRPr="00CE799B" w:rsidRDefault="001C6B79" w:rsidP="004F7635">
            <w:pPr>
              <w:spacing w:before="180" w:after="100" w:afterAutospacing="1"/>
              <w:jc w:val="center"/>
              <w:rPr>
                <w:rFonts w:ascii="Arial" w:eastAsia="Times New Roman" w:hAnsi="Arial" w:cs="Arial"/>
                <w:color w:val="1E2124"/>
                <w:sz w:val="20"/>
                <w:szCs w:val="20"/>
              </w:rPr>
            </w:pPr>
            <w:r w:rsidRPr="00B901F8">
              <w:rPr>
                <w:rFonts w:ascii="Arial" w:hAnsi="Arial" w:cs="Arial"/>
                <w:sz w:val="20"/>
                <w:szCs w:val="20"/>
              </w:rPr>
              <w:t>4-10</w:t>
            </w:r>
          </w:p>
        </w:tc>
      </w:tr>
      <w:tr w:rsidR="001C6B79" w:rsidRPr="00C21F41" w:rsidTr="001C6B79">
        <w:tc>
          <w:tcPr>
            <w:tcW w:w="2581" w:type="dxa"/>
          </w:tcPr>
          <w:p w:rsidR="001C6B79" w:rsidRPr="001C6B79" w:rsidRDefault="001C6B79" w:rsidP="001C6B79">
            <w:pPr>
              <w:spacing w:before="180" w:after="100" w:afterAutospacing="1"/>
              <w:jc w:val="center"/>
              <w:rPr>
                <w:rFonts w:ascii="Arial" w:eastAsia="Times New Roman" w:hAnsi="Arial" w:cs="Arial"/>
                <w:color w:val="1E2124"/>
                <w:sz w:val="20"/>
                <w:szCs w:val="20"/>
              </w:rPr>
            </w:pPr>
            <w:r w:rsidRPr="001C6B79">
              <w:rPr>
                <w:rFonts w:ascii="Arial" w:hAnsi="Arial" w:cs="Arial"/>
                <w:sz w:val="20"/>
                <w:szCs w:val="20"/>
              </w:rPr>
              <w:t>Over 50.00 to 100.00</w:t>
            </w:r>
          </w:p>
        </w:tc>
        <w:tc>
          <w:tcPr>
            <w:tcW w:w="2772" w:type="dxa"/>
            <w:gridSpan w:val="2"/>
          </w:tcPr>
          <w:p w:rsidR="001C6B79" w:rsidRPr="00C21F41" w:rsidRDefault="001C6B79" w:rsidP="004F7635">
            <w:pPr>
              <w:spacing w:before="180" w:after="100" w:afterAutospacing="1"/>
              <w:jc w:val="center"/>
              <w:rPr>
                <w:rFonts w:ascii="Arial" w:eastAsia="Times New Roman" w:hAnsi="Arial" w:cs="Arial"/>
                <w:color w:val="1E2124"/>
                <w:sz w:val="20"/>
                <w:szCs w:val="20"/>
              </w:rPr>
            </w:pPr>
            <w:r w:rsidRPr="00C21F41">
              <w:rPr>
                <w:rFonts w:ascii="Arial" w:hAnsi="Arial" w:cs="Arial"/>
                <w:sz w:val="20"/>
                <w:szCs w:val="20"/>
              </w:rPr>
              <w:t>0.050</w:t>
            </w:r>
          </w:p>
        </w:tc>
        <w:tc>
          <w:tcPr>
            <w:tcW w:w="4003" w:type="dxa"/>
            <w:gridSpan w:val="2"/>
          </w:tcPr>
          <w:p w:rsidR="001C6B79" w:rsidRPr="00C21F41" w:rsidRDefault="001C6B79" w:rsidP="004F7635">
            <w:pPr>
              <w:spacing w:before="180" w:after="100" w:afterAutospacing="1"/>
              <w:jc w:val="center"/>
              <w:rPr>
                <w:rFonts w:ascii="Arial" w:eastAsia="Times New Roman" w:hAnsi="Arial" w:cs="Arial"/>
                <w:color w:val="1E2124"/>
                <w:sz w:val="20"/>
                <w:szCs w:val="20"/>
              </w:rPr>
            </w:pPr>
            <w:r w:rsidRPr="00C21F41">
              <w:rPr>
                <w:rFonts w:ascii="Arial" w:hAnsi="Arial" w:cs="Arial"/>
                <w:sz w:val="20"/>
                <w:szCs w:val="20"/>
              </w:rPr>
              <w:t>5-10</w:t>
            </w:r>
          </w:p>
        </w:tc>
      </w:tr>
      <w:tr w:rsidR="001C6B79" w:rsidRPr="00B901F8" w:rsidTr="001C6B79">
        <w:tc>
          <w:tcPr>
            <w:tcW w:w="2581" w:type="dxa"/>
          </w:tcPr>
          <w:p w:rsidR="001C6B79" w:rsidRPr="001C6B79" w:rsidRDefault="001C6B79" w:rsidP="001C6B79">
            <w:pPr>
              <w:spacing w:before="180" w:after="100" w:afterAutospacing="1"/>
              <w:jc w:val="center"/>
              <w:rPr>
                <w:rFonts w:ascii="Arial" w:eastAsia="Times New Roman" w:hAnsi="Arial" w:cs="Arial"/>
                <w:color w:val="1E2124"/>
                <w:sz w:val="20"/>
                <w:szCs w:val="20"/>
              </w:rPr>
            </w:pPr>
            <w:r w:rsidRPr="001C6B79">
              <w:rPr>
                <w:rFonts w:ascii="Arial" w:hAnsi="Arial" w:cs="Arial"/>
                <w:sz w:val="20"/>
                <w:szCs w:val="20"/>
              </w:rPr>
              <w:t>Over 100.00 to 200.00</w:t>
            </w:r>
          </w:p>
        </w:tc>
        <w:tc>
          <w:tcPr>
            <w:tcW w:w="2772" w:type="dxa"/>
            <w:gridSpan w:val="2"/>
          </w:tcPr>
          <w:p w:rsidR="001C6B79" w:rsidRPr="00B901F8" w:rsidRDefault="001C6B79" w:rsidP="004F7635">
            <w:pPr>
              <w:spacing w:before="180" w:after="100" w:afterAutospacing="1"/>
              <w:jc w:val="center"/>
              <w:rPr>
                <w:rFonts w:ascii="Arial" w:eastAsia="Times New Roman" w:hAnsi="Arial" w:cs="Arial"/>
                <w:color w:val="1E2124"/>
                <w:sz w:val="20"/>
                <w:szCs w:val="20"/>
              </w:rPr>
            </w:pPr>
            <w:r w:rsidRPr="00B901F8">
              <w:rPr>
                <w:rFonts w:ascii="Arial" w:hAnsi="Arial" w:cs="Arial"/>
                <w:sz w:val="20"/>
                <w:szCs w:val="20"/>
              </w:rPr>
              <w:t>0.100</w:t>
            </w:r>
          </w:p>
        </w:tc>
        <w:tc>
          <w:tcPr>
            <w:tcW w:w="4003" w:type="dxa"/>
            <w:gridSpan w:val="2"/>
          </w:tcPr>
          <w:p w:rsidR="001C6B79" w:rsidRPr="00B901F8" w:rsidRDefault="001C6B79" w:rsidP="004F7635">
            <w:pPr>
              <w:spacing w:before="180" w:after="100" w:afterAutospacing="1"/>
              <w:jc w:val="center"/>
              <w:rPr>
                <w:rFonts w:ascii="Arial" w:eastAsia="Times New Roman" w:hAnsi="Arial" w:cs="Arial"/>
                <w:color w:val="1E2124"/>
                <w:sz w:val="20"/>
                <w:szCs w:val="20"/>
              </w:rPr>
            </w:pPr>
            <w:r w:rsidRPr="00B901F8">
              <w:rPr>
                <w:rFonts w:ascii="Arial" w:hAnsi="Arial" w:cs="Arial"/>
                <w:sz w:val="20"/>
                <w:szCs w:val="20"/>
              </w:rPr>
              <w:t>5-10</w:t>
            </w:r>
          </w:p>
        </w:tc>
      </w:tr>
      <w:tr w:rsidR="001C6B79" w:rsidRPr="00B901F8" w:rsidTr="001C6B79">
        <w:tc>
          <w:tcPr>
            <w:tcW w:w="2581" w:type="dxa"/>
          </w:tcPr>
          <w:p w:rsidR="001C6B79" w:rsidRPr="001C6B79" w:rsidRDefault="001C6B79" w:rsidP="001C6B79">
            <w:pPr>
              <w:spacing w:before="180" w:after="100" w:afterAutospacing="1"/>
              <w:jc w:val="center"/>
              <w:rPr>
                <w:rFonts w:ascii="Arial" w:eastAsia="Times New Roman" w:hAnsi="Arial" w:cs="Arial"/>
                <w:color w:val="1E2124"/>
                <w:sz w:val="20"/>
                <w:szCs w:val="20"/>
              </w:rPr>
            </w:pPr>
            <w:r w:rsidRPr="001C6B79">
              <w:rPr>
                <w:rFonts w:ascii="Arial" w:hAnsi="Arial" w:cs="Arial"/>
                <w:sz w:val="20"/>
                <w:szCs w:val="20"/>
              </w:rPr>
              <w:t>Over 200.00 to 500.00</w:t>
            </w:r>
          </w:p>
        </w:tc>
        <w:tc>
          <w:tcPr>
            <w:tcW w:w="2772" w:type="dxa"/>
            <w:gridSpan w:val="2"/>
          </w:tcPr>
          <w:p w:rsidR="001C6B79" w:rsidRPr="00B901F8" w:rsidRDefault="001C6B79" w:rsidP="004F7635">
            <w:pPr>
              <w:spacing w:before="180" w:after="100" w:afterAutospacing="1"/>
              <w:jc w:val="center"/>
              <w:rPr>
                <w:rFonts w:ascii="Arial" w:eastAsia="Times New Roman" w:hAnsi="Arial" w:cs="Arial"/>
                <w:color w:val="1E2124"/>
                <w:sz w:val="20"/>
                <w:szCs w:val="20"/>
              </w:rPr>
            </w:pPr>
            <w:r w:rsidRPr="00B901F8">
              <w:rPr>
                <w:rFonts w:ascii="Arial" w:hAnsi="Arial" w:cs="Arial"/>
                <w:sz w:val="20"/>
                <w:szCs w:val="20"/>
              </w:rPr>
              <w:t>0.200</w:t>
            </w:r>
          </w:p>
        </w:tc>
        <w:tc>
          <w:tcPr>
            <w:tcW w:w="4003" w:type="dxa"/>
            <w:gridSpan w:val="2"/>
          </w:tcPr>
          <w:p w:rsidR="001C6B79" w:rsidRPr="00B901F8" w:rsidRDefault="001C6B79" w:rsidP="004F7635">
            <w:pPr>
              <w:spacing w:before="180" w:after="100" w:afterAutospacing="1"/>
              <w:jc w:val="center"/>
              <w:rPr>
                <w:rFonts w:ascii="Arial" w:eastAsia="Times New Roman" w:hAnsi="Arial" w:cs="Arial"/>
                <w:color w:val="1E2124"/>
                <w:sz w:val="20"/>
                <w:szCs w:val="20"/>
              </w:rPr>
            </w:pPr>
            <w:r w:rsidRPr="00B901F8">
              <w:rPr>
                <w:rFonts w:ascii="Arial" w:hAnsi="Arial" w:cs="Arial"/>
                <w:sz w:val="20"/>
                <w:szCs w:val="20"/>
              </w:rPr>
              <w:t>4-10</w:t>
            </w:r>
          </w:p>
        </w:tc>
      </w:tr>
      <w:tr w:rsidR="001C6B79" w:rsidRPr="00B901F8" w:rsidTr="001C6B79">
        <w:tc>
          <w:tcPr>
            <w:tcW w:w="2581" w:type="dxa"/>
          </w:tcPr>
          <w:p w:rsidR="001C6B79" w:rsidRPr="001C6B79" w:rsidRDefault="001C6B79" w:rsidP="001C6B79">
            <w:pPr>
              <w:spacing w:before="180" w:after="100" w:afterAutospacing="1"/>
              <w:jc w:val="center"/>
              <w:rPr>
                <w:rFonts w:ascii="Arial" w:eastAsia="Times New Roman" w:hAnsi="Arial" w:cs="Arial"/>
                <w:color w:val="1E2124"/>
                <w:sz w:val="20"/>
                <w:szCs w:val="20"/>
              </w:rPr>
            </w:pPr>
            <w:r w:rsidRPr="001C6B79">
              <w:rPr>
                <w:rFonts w:ascii="Arial" w:hAnsi="Arial" w:cs="Arial"/>
                <w:sz w:val="20"/>
                <w:szCs w:val="20"/>
              </w:rPr>
              <w:t>Over 500.00 to 1,000.00</w:t>
            </w:r>
          </w:p>
        </w:tc>
        <w:tc>
          <w:tcPr>
            <w:tcW w:w="2772" w:type="dxa"/>
            <w:gridSpan w:val="2"/>
          </w:tcPr>
          <w:p w:rsidR="001C6B79" w:rsidRPr="00B901F8" w:rsidRDefault="001C6B79" w:rsidP="004F7635">
            <w:pPr>
              <w:spacing w:before="180" w:after="100" w:afterAutospacing="1"/>
              <w:jc w:val="center"/>
              <w:rPr>
                <w:rFonts w:ascii="Arial" w:eastAsia="Times New Roman" w:hAnsi="Arial" w:cs="Arial"/>
                <w:color w:val="1E2124"/>
                <w:sz w:val="20"/>
                <w:szCs w:val="20"/>
              </w:rPr>
            </w:pPr>
            <w:r w:rsidRPr="00B901F8">
              <w:rPr>
                <w:rFonts w:ascii="Arial" w:hAnsi="Arial" w:cs="Arial"/>
                <w:sz w:val="20"/>
                <w:szCs w:val="20"/>
              </w:rPr>
              <w:t>0.500</w:t>
            </w:r>
          </w:p>
        </w:tc>
        <w:tc>
          <w:tcPr>
            <w:tcW w:w="4003" w:type="dxa"/>
            <w:gridSpan w:val="2"/>
          </w:tcPr>
          <w:p w:rsidR="001C6B79" w:rsidRPr="00B901F8" w:rsidRDefault="001C6B79" w:rsidP="004F7635">
            <w:pPr>
              <w:spacing w:before="180" w:after="100" w:afterAutospacing="1"/>
              <w:jc w:val="center"/>
              <w:rPr>
                <w:rFonts w:ascii="Arial" w:eastAsia="Times New Roman" w:hAnsi="Arial" w:cs="Arial"/>
                <w:color w:val="1E2124"/>
                <w:sz w:val="20"/>
                <w:szCs w:val="20"/>
              </w:rPr>
            </w:pPr>
            <w:r w:rsidRPr="00B901F8">
              <w:rPr>
                <w:rFonts w:ascii="Arial" w:hAnsi="Arial" w:cs="Arial"/>
                <w:sz w:val="20"/>
                <w:szCs w:val="20"/>
              </w:rPr>
              <w:t>5-10</w:t>
            </w:r>
          </w:p>
        </w:tc>
      </w:tr>
      <w:tr w:rsidR="001C6B79" w:rsidRPr="00B901F8" w:rsidTr="001C6B79">
        <w:tc>
          <w:tcPr>
            <w:tcW w:w="2581" w:type="dxa"/>
          </w:tcPr>
          <w:p w:rsidR="001C6B79" w:rsidRPr="001C6B79" w:rsidRDefault="001C6B79" w:rsidP="001C6B79">
            <w:pPr>
              <w:spacing w:before="180" w:after="100" w:afterAutospacing="1"/>
              <w:jc w:val="center"/>
              <w:rPr>
                <w:rFonts w:ascii="Arial" w:eastAsia="Times New Roman" w:hAnsi="Arial" w:cs="Arial"/>
                <w:color w:val="1E2124"/>
                <w:sz w:val="20"/>
                <w:szCs w:val="20"/>
              </w:rPr>
            </w:pPr>
            <w:r w:rsidRPr="001C6B79">
              <w:rPr>
                <w:rFonts w:ascii="Arial" w:hAnsi="Arial" w:cs="Arial"/>
                <w:sz w:val="20"/>
                <w:szCs w:val="20"/>
              </w:rPr>
              <w:t>Over 1,000.00 to 2,000.00</w:t>
            </w:r>
          </w:p>
        </w:tc>
        <w:tc>
          <w:tcPr>
            <w:tcW w:w="2772" w:type="dxa"/>
            <w:gridSpan w:val="2"/>
          </w:tcPr>
          <w:p w:rsidR="001C6B79" w:rsidRPr="00B901F8" w:rsidRDefault="001C6B79" w:rsidP="004F7635">
            <w:pPr>
              <w:spacing w:before="180" w:after="100" w:afterAutospacing="1"/>
              <w:jc w:val="center"/>
              <w:rPr>
                <w:rFonts w:ascii="Arial" w:eastAsia="Times New Roman" w:hAnsi="Arial" w:cs="Arial"/>
                <w:color w:val="1E2124"/>
                <w:sz w:val="20"/>
                <w:szCs w:val="20"/>
              </w:rPr>
            </w:pPr>
            <w:r w:rsidRPr="00B901F8">
              <w:rPr>
                <w:rFonts w:ascii="Arial" w:hAnsi="Arial" w:cs="Arial"/>
                <w:sz w:val="20"/>
                <w:szCs w:val="20"/>
              </w:rPr>
              <w:t>1.000</w:t>
            </w:r>
          </w:p>
        </w:tc>
        <w:tc>
          <w:tcPr>
            <w:tcW w:w="4003" w:type="dxa"/>
            <w:gridSpan w:val="2"/>
          </w:tcPr>
          <w:p w:rsidR="001C6B79" w:rsidRPr="00B901F8" w:rsidRDefault="001C6B79" w:rsidP="004F7635">
            <w:pPr>
              <w:spacing w:before="180" w:after="100" w:afterAutospacing="1"/>
              <w:jc w:val="center"/>
              <w:rPr>
                <w:rFonts w:ascii="Arial" w:eastAsia="Times New Roman" w:hAnsi="Arial" w:cs="Arial"/>
                <w:color w:val="1E2124"/>
                <w:sz w:val="20"/>
                <w:szCs w:val="20"/>
              </w:rPr>
            </w:pPr>
            <w:r w:rsidRPr="00B901F8">
              <w:rPr>
                <w:rFonts w:ascii="Arial" w:hAnsi="Arial" w:cs="Arial"/>
                <w:sz w:val="20"/>
                <w:szCs w:val="20"/>
              </w:rPr>
              <w:t>5-10</w:t>
            </w:r>
          </w:p>
        </w:tc>
      </w:tr>
      <w:tr w:rsidR="001C6B79" w:rsidRPr="00B901F8" w:rsidTr="001C6B79">
        <w:tc>
          <w:tcPr>
            <w:tcW w:w="2581" w:type="dxa"/>
          </w:tcPr>
          <w:p w:rsidR="001C6B79" w:rsidRPr="001C6B79" w:rsidRDefault="001C6B79" w:rsidP="001C6B79">
            <w:pPr>
              <w:spacing w:before="180" w:after="100" w:afterAutospacing="1"/>
              <w:jc w:val="center"/>
              <w:rPr>
                <w:rFonts w:ascii="Arial" w:eastAsia="Times New Roman" w:hAnsi="Arial" w:cs="Arial"/>
                <w:color w:val="1E2124"/>
                <w:sz w:val="20"/>
                <w:szCs w:val="20"/>
              </w:rPr>
            </w:pPr>
            <w:r w:rsidRPr="001C6B79">
              <w:rPr>
                <w:rFonts w:ascii="Arial" w:hAnsi="Arial" w:cs="Arial"/>
                <w:sz w:val="20"/>
                <w:szCs w:val="20"/>
              </w:rPr>
              <w:t>Over 2,000.00 to 5,000.00</w:t>
            </w:r>
          </w:p>
        </w:tc>
        <w:tc>
          <w:tcPr>
            <w:tcW w:w="2772" w:type="dxa"/>
            <w:gridSpan w:val="2"/>
          </w:tcPr>
          <w:p w:rsidR="001C6B79" w:rsidRPr="00B901F8" w:rsidRDefault="001C6B79" w:rsidP="004F7635">
            <w:pPr>
              <w:spacing w:before="180" w:after="100" w:afterAutospacing="1"/>
              <w:jc w:val="center"/>
              <w:rPr>
                <w:rFonts w:ascii="Arial" w:eastAsia="Times New Roman" w:hAnsi="Arial" w:cs="Arial"/>
                <w:color w:val="1E2124"/>
                <w:sz w:val="20"/>
                <w:szCs w:val="20"/>
              </w:rPr>
            </w:pPr>
            <w:r w:rsidRPr="00B901F8">
              <w:rPr>
                <w:rFonts w:ascii="Arial" w:hAnsi="Arial" w:cs="Arial"/>
                <w:sz w:val="20"/>
                <w:szCs w:val="20"/>
              </w:rPr>
              <w:t>2.000</w:t>
            </w:r>
          </w:p>
        </w:tc>
        <w:tc>
          <w:tcPr>
            <w:tcW w:w="4003" w:type="dxa"/>
            <w:gridSpan w:val="2"/>
          </w:tcPr>
          <w:p w:rsidR="001C6B79" w:rsidRPr="00B901F8" w:rsidRDefault="001C6B79" w:rsidP="004F7635">
            <w:pPr>
              <w:spacing w:before="180" w:after="100" w:afterAutospacing="1"/>
              <w:jc w:val="center"/>
              <w:rPr>
                <w:rFonts w:ascii="Arial" w:eastAsia="Times New Roman" w:hAnsi="Arial" w:cs="Arial"/>
                <w:color w:val="1E2124"/>
                <w:sz w:val="20"/>
                <w:szCs w:val="20"/>
              </w:rPr>
            </w:pPr>
            <w:r w:rsidRPr="00B901F8">
              <w:rPr>
                <w:rFonts w:ascii="Arial" w:hAnsi="Arial" w:cs="Arial"/>
                <w:sz w:val="20"/>
                <w:szCs w:val="20"/>
              </w:rPr>
              <w:t>4-10</w:t>
            </w:r>
          </w:p>
        </w:tc>
      </w:tr>
      <w:tr w:rsidR="001C6B79" w:rsidRPr="00B901F8" w:rsidTr="001C6B79">
        <w:tc>
          <w:tcPr>
            <w:tcW w:w="2581" w:type="dxa"/>
          </w:tcPr>
          <w:p w:rsidR="001C6B79" w:rsidRPr="001C6B79" w:rsidRDefault="001C6B79" w:rsidP="001C6B79">
            <w:pPr>
              <w:spacing w:before="180" w:after="100" w:afterAutospacing="1"/>
              <w:jc w:val="center"/>
              <w:rPr>
                <w:rFonts w:ascii="Arial" w:eastAsia="Times New Roman" w:hAnsi="Arial" w:cs="Arial"/>
                <w:color w:val="1E2124"/>
                <w:sz w:val="20"/>
                <w:szCs w:val="20"/>
              </w:rPr>
            </w:pPr>
            <w:r w:rsidRPr="001C6B79">
              <w:rPr>
                <w:rFonts w:ascii="Arial" w:hAnsi="Arial" w:cs="Arial"/>
                <w:sz w:val="20"/>
                <w:szCs w:val="20"/>
              </w:rPr>
              <w:t>Over 5,000.00 to 9,995.00</w:t>
            </w:r>
          </w:p>
        </w:tc>
        <w:tc>
          <w:tcPr>
            <w:tcW w:w="2772" w:type="dxa"/>
            <w:gridSpan w:val="2"/>
          </w:tcPr>
          <w:p w:rsidR="001C6B79" w:rsidRPr="00B901F8" w:rsidRDefault="001C6B79" w:rsidP="004F7635">
            <w:pPr>
              <w:spacing w:before="180" w:after="100" w:afterAutospacing="1"/>
              <w:jc w:val="center"/>
              <w:rPr>
                <w:rFonts w:ascii="Arial" w:eastAsia="Times New Roman" w:hAnsi="Arial" w:cs="Arial"/>
                <w:color w:val="1E2124"/>
                <w:sz w:val="20"/>
                <w:szCs w:val="20"/>
              </w:rPr>
            </w:pPr>
            <w:r w:rsidRPr="00B901F8">
              <w:rPr>
                <w:rFonts w:ascii="Arial" w:hAnsi="Arial" w:cs="Arial"/>
                <w:sz w:val="20"/>
                <w:szCs w:val="20"/>
              </w:rPr>
              <w:t>5.000</w:t>
            </w:r>
          </w:p>
        </w:tc>
        <w:tc>
          <w:tcPr>
            <w:tcW w:w="4003" w:type="dxa"/>
            <w:gridSpan w:val="2"/>
          </w:tcPr>
          <w:p w:rsidR="001C6B79" w:rsidRPr="00B901F8" w:rsidRDefault="001C6B79" w:rsidP="004F7635">
            <w:pPr>
              <w:spacing w:before="180" w:after="100" w:afterAutospacing="1"/>
              <w:jc w:val="center"/>
              <w:rPr>
                <w:rFonts w:ascii="Arial" w:eastAsia="Times New Roman" w:hAnsi="Arial" w:cs="Arial"/>
                <w:color w:val="1E2124"/>
                <w:sz w:val="20"/>
                <w:szCs w:val="20"/>
              </w:rPr>
            </w:pPr>
            <w:r w:rsidRPr="00B901F8">
              <w:rPr>
                <w:rFonts w:ascii="Arial" w:hAnsi="Arial" w:cs="Arial"/>
                <w:sz w:val="20"/>
                <w:szCs w:val="20"/>
              </w:rPr>
              <w:t>5-10</w:t>
            </w:r>
          </w:p>
        </w:tc>
      </w:tr>
    </w:tbl>
    <w:p w:rsidR="00377050" w:rsidRPr="004F7635" w:rsidRDefault="00706722">
      <w:pPr>
        <w:pStyle w:val="BodyText"/>
        <w:rPr>
          <w:b/>
        </w:rPr>
      </w:pPr>
      <w:r w:rsidRPr="004F7635">
        <w:rPr>
          <w:b/>
        </w:rPr>
        <w:t>Impact of Minimum Spread Reductions</w:t>
      </w:r>
    </w:p>
    <w:p w:rsidR="00377050" w:rsidRDefault="00706722">
      <w:pPr>
        <w:pStyle w:val="BodyText"/>
      </w:pPr>
      <w:r>
        <w:t>The proposed changes are quantified as follows:</w:t>
      </w:r>
    </w:p>
    <w:p w:rsidR="00377050" w:rsidRDefault="00706722">
      <w:pPr>
        <w:pStyle w:val="Compact"/>
        <w:numPr>
          <w:ilvl w:val="0"/>
          <w:numId w:val="7"/>
        </w:numPr>
      </w:pPr>
      <w:r>
        <w:t>Phase 1 would affect 283 securities (about 11% of Applicable Securities, representing 29% of ADT); and</w:t>
      </w:r>
    </w:p>
    <w:p w:rsidR="00377050" w:rsidRDefault="00706722">
      <w:pPr>
        <w:pStyle w:val="Compact"/>
        <w:numPr>
          <w:ilvl w:val="0"/>
          <w:numId w:val="7"/>
        </w:numPr>
      </w:pPr>
      <w:r>
        <w:t>Phase 2 would impact 1,345 securities (about 51% of Applicable Securities, accounting for 24% of ADT).</w:t>
      </w:r>
    </w:p>
    <w:p w:rsidR="004F7635" w:rsidRDefault="004F7635">
      <w:pPr>
        <w:pStyle w:val="FirstParagraph"/>
        <w:rPr>
          <w:b/>
          <w:color w:val="C00000"/>
          <w:sz w:val="28"/>
          <w:szCs w:val="28"/>
        </w:rPr>
      </w:pPr>
    </w:p>
    <w:p w:rsidR="00377050" w:rsidRPr="004F7635" w:rsidRDefault="00706722">
      <w:pPr>
        <w:pStyle w:val="FirstParagraph"/>
        <w:rPr>
          <w:b/>
          <w:color w:val="C00000"/>
          <w:sz w:val="28"/>
          <w:szCs w:val="28"/>
        </w:rPr>
      </w:pPr>
      <w:r w:rsidRPr="004F7635">
        <w:rPr>
          <w:b/>
          <w:color w:val="C00000"/>
          <w:sz w:val="28"/>
          <w:szCs w:val="28"/>
        </w:rPr>
        <w:lastRenderedPageBreak/>
        <w:t>Spread table arrangement</w:t>
      </w:r>
    </w:p>
    <w:p w:rsidR="00377050" w:rsidRDefault="00706722">
      <w:pPr>
        <w:pStyle w:val="BodyText"/>
      </w:pPr>
      <w:r>
        <w:t>In Hong Kong, a uniform spread table is applied to all securities, which sets minimum spreads that escalate with price bands but does not differentiate based on liquidity. This system maintains a consistent tick-to-price ratio, which is considered beneficial for executing strategies within a particular product segment.</w:t>
      </w:r>
    </w:p>
    <w:p w:rsidR="00377050" w:rsidRDefault="00706722">
      <w:pPr>
        <w:pStyle w:val="BodyText"/>
      </w:pPr>
      <w:r>
        <w:t>However, a significant drawback of the single spread table approach is that it does not account for the liquidity of individual stocks. Highly liquid stocks may be limited by large minimum spreads (tick constrained), while the orders for less liquid stocks may be scattered across numerous price levels, which can dilute visible liquidity and hinder effective price discovery.</w:t>
      </w:r>
    </w:p>
    <w:p w:rsidR="00377050" w:rsidRDefault="00706722">
      <w:pPr>
        <w:pStyle w:val="BodyText"/>
      </w:pPr>
      <w:r>
        <w:t>A multiple spread table model for setting minimum spreads in equity markets based on both price and liquidity can mitigate the issues of dispersed liquidity in less liquid stocks. This model is complex, however, and requires regular updates to account for changes in stock liquidity, and demands greater engagement from market participants to incorporate data into their systems and test algorithmic trading strategies.</w:t>
      </w:r>
    </w:p>
    <w:p w:rsidR="00377050" w:rsidRDefault="00706722">
      <w:pPr>
        <w:pStyle w:val="BodyText"/>
      </w:pPr>
      <w:r>
        <w:t>Initial market feedback showed a preference among market participants for a single spread table, favouring simplicity, consistency and lower costs in the Hong Kong equities market. The Consultation Paper therefore proposes maintaining the single spread table model for Applicable Securities.</w:t>
      </w:r>
    </w:p>
    <w:p w:rsidR="00377050" w:rsidRPr="00706722" w:rsidRDefault="00706722">
      <w:pPr>
        <w:pStyle w:val="BodyText"/>
        <w:rPr>
          <w:b/>
          <w:color w:val="C00000"/>
          <w:sz w:val="28"/>
          <w:szCs w:val="28"/>
        </w:rPr>
      </w:pPr>
      <w:r w:rsidRPr="00706722">
        <w:rPr>
          <w:b/>
          <w:color w:val="C00000"/>
          <w:sz w:val="28"/>
          <w:szCs w:val="28"/>
        </w:rPr>
        <w:t>Other Matters Affected by the Proposed Minimum Spread Reductions</w:t>
      </w:r>
    </w:p>
    <w:p w:rsidR="00377050" w:rsidRPr="00706722" w:rsidRDefault="00706722">
      <w:pPr>
        <w:pStyle w:val="BodyText"/>
        <w:rPr>
          <w:b/>
        </w:rPr>
      </w:pPr>
      <w:r w:rsidRPr="00706722">
        <w:rPr>
          <w:b/>
        </w:rPr>
        <w:t>Quotation Rules</w:t>
      </w:r>
    </w:p>
    <w:p w:rsidR="00377050" w:rsidRDefault="00706722">
      <w:pPr>
        <w:pStyle w:val="BodyText"/>
      </w:pPr>
      <w:r>
        <w:t>The proposed reduction of minimum spreads for Applicable Securities will result in tighter price limits for order input, which will be governed by the quotation rules in terms of number of minimum spreads. In view of this, the HKEX considers that there needs to be a review of the quotation rules in c</w:t>
      </w:r>
      <w:r w:rsidR="00907B02">
        <w:t>onjunction with the proposed</w:t>
      </w:r>
      <w:r>
        <w:t xml:space="preserve"> minimum spread review.</w:t>
      </w:r>
    </w:p>
    <w:p w:rsidR="00377050" w:rsidRDefault="00706722">
      <w:pPr>
        <w:pStyle w:val="BodyText"/>
      </w:pPr>
      <w:r>
        <w:t>Order input prices during the Continuous Trading Session are governed by the relevant quotation rules under the Rules of the HKEX. The quotation rules are intended to ensure that only orders priced within a specific range are entered into the HKEX’s trading system to allow smooth price discovery and manage the trading system’s capacity.</w:t>
      </w:r>
    </w:p>
    <w:p w:rsidR="00377050" w:rsidRDefault="00706722">
      <w:pPr>
        <w:pStyle w:val="BodyText"/>
      </w:pPr>
      <w:r>
        <w:t>The allowable price limits for Applicable Securities are currently set within ±24 spreads, but with the proposed reduction of minimum spreads, these limits could be reduced by 50% to 60%. To mitigate the impact of this reduction, the HKEX is considering adjusting the quotation rules for Applicable Securities. It is looking to adopt a dual structure price limit system, which is already in use for ETPs and would additionally adopt a percentage-based quotation limit which is adopted by other exchanges such as the Shanghai, Shenzhen and Korean stock exchanges.</w:t>
      </w:r>
    </w:p>
    <w:p w:rsidR="00377050" w:rsidRDefault="00706722">
      <w:pPr>
        <w:pStyle w:val="BodyText"/>
      </w:pPr>
      <w:r>
        <w:t>The proposal would involve setting order input price limits based on a fixed number of spreads or a percentage of the reference price, whichever is greater. The HKEX is proposing to adopt the same quotation rules as apply to ETPs. The price limits for Applicable Securities would then be the greater of ±24 spreads or ±3.5% from the reference price. This approach aims to address the narrowing price limits issue and align the quotation rules across all securities, facilitating easier adoption and technical implementation by market participants.</w:t>
      </w:r>
    </w:p>
    <w:p w:rsidR="00377050" w:rsidRDefault="00706722">
      <w:pPr>
        <w:pStyle w:val="BodyText"/>
      </w:pPr>
      <w:r>
        <w:t>The HKEX also proposes to align the rules for opening quotations and transactions concluded outside the HKEX’s trading system.</w:t>
      </w:r>
    </w:p>
    <w:p w:rsidR="00377050" w:rsidRPr="00706722" w:rsidRDefault="00706722">
      <w:pPr>
        <w:pStyle w:val="BodyText"/>
        <w:rPr>
          <w:b/>
        </w:rPr>
      </w:pPr>
      <w:r w:rsidRPr="00706722">
        <w:rPr>
          <w:b/>
        </w:rPr>
        <w:t>Market System Adaptability</w:t>
      </w:r>
    </w:p>
    <w:p w:rsidR="00377050" w:rsidRDefault="00706722">
      <w:pPr>
        <w:pStyle w:val="BodyText"/>
      </w:pPr>
      <w:r>
        <w:t xml:space="preserve">If the HKEX expands the minimum spread reduction to price bands below HK$10, the minimum spread could be reduced to HK$0.005 for securities in the HK$0.05 to HK$10 price band. Initial </w:t>
      </w:r>
      <w:r>
        <w:lastRenderedPageBreak/>
        <w:t>feedback from some market participants suggested that some systems may need upgrades to handle more than two decimal places, for example for Exchange Traded Option trades, indicating that some market participants may need additional time to adjust to these changes.</w:t>
      </w:r>
    </w:p>
    <w:p w:rsidR="00377050" w:rsidRDefault="00706722">
      <w:pPr>
        <w:pStyle w:val="DisclaimerBold"/>
      </w:pPr>
      <w:r>
        <w:t>This newsletter is for information purposes only.</w:t>
      </w:r>
    </w:p>
    <w:p w:rsidR="00377050" w:rsidRDefault="00706722">
      <w:pPr>
        <w:pStyle w:val="Disclaimer"/>
      </w:pPr>
      <w:r>
        <w:t>Its contents do not constitute legal advice and it should  not be regarded as a substitute for detailed advice  in individual cases.</w:t>
      </w:r>
    </w:p>
    <w:p w:rsidR="00377050" w:rsidRDefault="00706722">
      <w:pPr>
        <w:pStyle w:val="Disclaimer"/>
      </w:pPr>
      <w:r>
        <w:t>Transmission of this information is not intended to create and receipt does not constitute a lawyer-client relationship between Charltons and the user or browser.</w:t>
      </w:r>
    </w:p>
    <w:p w:rsidR="00377050" w:rsidRDefault="00706722">
      <w:pPr>
        <w:pStyle w:val="Disclaimer"/>
      </w:pPr>
      <w:r>
        <w:t>Charltons is not responsible for any third party content which can be accessed through the website.</w:t>
      </w:r>
    </w:p>
    <w:p w:rsidR="00377050" w:rsidRDefault="00706722">
      <w:pPr>
        <w:pStyle w:val="Disclaimer"/>
      </w:pPr>
      <w:r>
        <w:t xml:space="preserve">If you do not wish to receive this newsletter please let us know by emailing us at  </w:t>
      </w:r>
      <w:hyperlink r:id="rId9">
        <w:r>
          <w:t>unsubscribe@charltonslaw.com</w:t>
        </w:r>
      </w:hyperlink>
    </w:p>
    <w:p w:rsidR="00377050" w:rsidRDefault="00706722">
      <w:pPr>
        <w:pStyle w:val="BlackStrips"/>
      </w:pPr>
      <w:r>
        <w:t>Charltons - Hong Ko</w:t>
      </w:r>
      <w:bookmarkStart w:id="0" w:name="_GoBack"/>
      <w:bookmarkEnd w:id="0"/>
      <w:r>
        <w:t>ng Law - 1</w:t>
      </w:r>
      <w:r w:rsidR="00433786">
        <w:t>2</w:t>
      </w:r>
      <w:r>
        <w:t xml:space="preserve"> July 2024</w:t>
      </w:r>
    </w:p>
    <w:sectPr w:rsidR="00377050">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253" w:rsidRDefault="00706722">
      <w:pPr>
        <w:spacing w:after="0"/>
      </w:pPr>
      <w:r>
        <w:separator/>
      </w:r>
    </w:p>
  </w:endnote>
  <w:endnote w:type="continuationSeparator" w:id="0">
    <w:p w:rsidR="00492253" w:rsidRDefault="007067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050" w:rsidRDefault="00706722">
      <w:r>
        <w:separator/>
      </w:r>
    </w:p>
  </w:footnote>
  <w:footnote w:type="continuationSeparator" w:id="0">
    <w:p w:rsidR="00377050" w:rsidRDefault="00706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EF1CA17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D3D6505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6A9EAE4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1C6B79"/>
    <w:rsid w:val="00377050"/>
    <w:rsid w:val="00433786"/>
    <w:rsid w:val="00492253"/>
    <w:rsid w:val="004E29B3"/>
    <w:rsid w:val="004F7635"/>
    <w:rsid w:val="00590D07"/>
    <w:rsid w:val="00706722"/>
    <w:rsid w:val="00784D58"/>
    <w:rsid w:val="008D6863"/>
    <w:rsid w:val="00907B02"/>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7A59F"/>
  <w15:docId w15:val="{F7D9AD01-ACA6-42AB-B042-43C04C97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styleId="TableGrid">
    <w:name w:val="Table Grid"/>
    <w:basedOn w:val="TableNormal"/>
    <w:uiPriority w:val="39"/>
    <w:rsid w:val="001C6B7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News/Market-Consultations/2016-Present/June-2024-Review-of-Minimum-Spreads/Consultation-Paper/cp202406.pdf" TargetMode="External"/><Relationship Id="rId3" Type="http://schemas.openxmlformats.org/officeDocument/2006/relationships/settings" Target="settings.xml"/><Relationship Id="rId7" Type="http://schemas.openxmlformats.org/officeDocument/2006/relationships/hyperlink" Target="https://www.charltonslaw.com/hkex-consults-on-reducing-minimum-spreads-for-hong-kong-secur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2299</Words>
  <Characters>13107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15376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Tails Kun Yin Xiang</cp:lastModifiedBy>
  <cp:revision>5</cp:revision>
  <dcterms:created xsi:type="dcterms:W3CDTF">2024-07-11T07:18:00Z</dcterms:created>
  <dcterms:modified xsi:type="dcterms:W3CDTF">2024-07-12T04:13:00Z</dcterms:modified>
</cp:coreProperties>
</file>